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WHNWKM+MicrosoftYaHei" w:hAnsi="WHNWKM+MicrosoftYaHei" w:cs="WHNWKM+MicrosoftYaHei"/>
          <w:color w:val="000000"/>
          <w:spacing w:val="0"/>
          <w:sz w:val="18"/>
        </w:rPr>
      </w:pPr>
      <w:r>
        <w:rPr>
          <w:rFonts w:ascii="WHNWKM+MicrosoftYaHei" w:hAnsi="WHNWKM+MicrosoftYaHei" w:cs="WHNWKM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UAAAB+MicrosoftYaHei"/>
          <w:color w:val="000000"/>
          <w:spacing w:val="0"/>
          <w:sz w:val="22"/>
        </w:rPr>
      </w:pPr>
      <w:r>
        <w:rPr>
          <w:rFonts w:ascii="WHNWKM+MicrosoftYaHei" w:hAnsi="WHNWKM+MicrosoftYaHei" w:cs="WHNWKM+MicrosoftYaHei"/>
          <w:color w:val="000000"/>
          <w:spacing w:val="0"/>
          <w:sz w:val="22"/>
        </w:rPr>
        <w:t>体检日期</w:t>
      </w:r>
      <w:r>
        <w:rPr>
          <w:rFonts w:ascii="EUAAAB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WHNWKM+MicrosoftYaHei" w:hAnsi="WHNWKM+MicrosoftYaHei" w:cs="WHNWKM+MicrosoftYaHei"/>
          <w:color w:val="000000"/>
          <w:spacing w:val="0"/>
          <w:sz w:val="22"/>
        </w:rPr>
      </w:pPr>
      <w:r>
        <w:rPr>
          <w:rFonts w:ascii="WHNWKM+MicrosoftYaHei" w:hAnsi="WHNWKM+MicrosoftYaHei" w:cs="WHNWKM+MicrosoftYaHei"/>
          <w:color w:val="000000"/>
          <w:spacing w:val="0"/>
          <w:sz w:val="22"/>
        </w:rPr>
        <w:t>姓名</w:t>
      </w:r>
      <w:r>
        <w:rPr>
          <w:rFonts w:ascii="EUAAAB+MicrosoftYaHei"/>
          <w:color w:val="000000"/>
          <w:spacing w:val="0"/>
          <w:sz w:val="22"/>
        </w:rPr>
        <w:t xml:space="preserve">:  </w:t>
      </w:r>
      <w:r>
        <w:rPr>
          <w:rFonts w:ascii="WHNWKM+MicrosoftYaHei" w:hAnsi="WHNWKM+MicrosoftYaHei" w:cs="WHNWKM+MicrosoftYaHei"/>
          <w:color w:val="000000"/>
          <w:spacing w:val="0"/>
          <w:sz w:val="22"/>
        </w:rPr>
        <w:t>伏卫民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UAAAB+MicrosoftYaHei"/>
          <w:color w:val="000000"/>
          <w:spacing w:val="0"/>
          <w:sz w:val="22"/>
        </w:rPr>
      </w:pPr>
      <w:r>
        <w:rPr>
          <w:rFonts w:ascii="WHNWKM+MicrosoftYaHei" w:hAnsi="WHNWKM+MicrosoftYaHei" w:cs="WHNWKM+MicrosoftYaHei"/>
          <w:color w:val="000000"/>
          <w:spacing w:val="0"/>
          <w:sz w:val="22"/>
        </w:rPr>
        <w:t>卡号</w:t>
      </w:r>
      <w:r>
        <w:rPr>
          <w:rFonts w:ascii="EUAAAB+MicrosoftYaHei"/>
          <w:color w:val="000000"/>
          <w:spacing w:val="0"/>
          <w:sz w:val="22"/>
        </w:rPr>
        <w:t xml:space="preserve">:  </w:t>
      </w:r>
      <w:r>
        <w:rPr>
          <w:rFonts w:ascii="EUAAAB+MicrosoftYaHei"/>
          <w:color w:val="000000"/>
          <w:spacing w:val="0"/>
          <w:sz w:val="22"/>
        </w:rPr>
        <w:t>17087813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HNWKM+MicrosoftYaHei" w:hAnsi="WHNWKM+MicrosoftYaHei" w:cs="WHNWKM+MicrosoftYaHei"/>
          <w:color w:val="000000"/>
          <w:spacing w:val="0"/>
          <w:sz w:val="22"/>
        </w:rPr>
      </w:pPr>
      <w:r>
        <w:rPr>
          <w:rFonts w:ascii="WHNWKM+MicrosoftYaHei" w:hAnsi="WHNWKM+MicrosoftYaHei" w:cs="WHNWKM+MicrosoftYaHei"/>
          <w:color w:val="000000"/>
          <w:spacing w:val="0"/>
          <w:sz w:val="22"/>
        </w:rPr>
        <w:t>性别</w:t>
      </w:r>
      <w:r>
        <w:rPr>
          <w:rFonts w:ascii="EUAAAB+MicrosoftYaHei"/>
          <w:color w:val="000000"/>
          <w:spacing w:val="0"/>
          <w:sz w:val="22"/>
        </w:rPr>
        <w:t xml:space="preserve">: </w:t>
      </w:r>
      <w:r>
        <w:rPr>
          <w:rFonts w:ascii="WHNWKM+MicrosoftYaHei" w:hAnsi="WHNWKM+MicrosoftYaHei" w:cs="WHNWKM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HNWKM+MicrosoftYaHei" w:hAnsi="WHNWKM+MicrosoftYaHei" w:cs="WHNWKM+MicrosoftYaHei"/>
          <w:color w:val="000000"/>
          <w:spacing w:val="0"/>
          <w:sz w:val="22"/>
        </w:rPr>
      </w:pPr>
      <w:r>
        <w:rPr>
          <w:rFonts w:ascii="WHNWKM+MicrosoftYaHei" w:hAnsi="WHNWKM+MicrosoftYaHei" w:cs="WHNWKM+MicrosoftYaHei"/>
          <w:color w:val="000000"/>
          <w:spacing w:val="0"/>
          <w:sz w:val="22"/>
        </w:rPr>
        <w:t>单位</w:t>
      </w:r>
      <w:r>
        <w:rPr>
          <w:rFonts w:ascii="EUAAAB+MicrosoftYaHei"/>
          <w:color w:val="000000"/>
          <w:spacing w:val="0"/>
          <w:sz w:val="22"/>
        </w:rPr>
        <w:t xml:space="preserve">:  </w:t>
      </w:r>
      <w:r>
        <w:rPr>
          <w:rFonts w:ascii="WHNWKM+MicrosoftYaHei" w:hAnsi="WHNWKM+MicrosoftYaHei" w:cs="WHNWKM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EUAAAB+MicrosoftYaHei"/>
          <w:color w:val="000000"/>
          <w:spacing w:val="0"/>
          <w:sz w:val="22"/>
        </w:rPr>
      </w:pPr>
      <w:r>
        <w:rPr>
          <w:rFonts w:ascii="WHNWKM+MicrosoftYaHei" w:hAnsi="WHNWKM+MicrosoftYaHei" w:cs="WHNWKM+MicrosoftYaHei"/>
          <w:color w:val="000000"/>
          <w:spacing w:val="0"/>
          <w:sz w:val="22"/>
        </w:rPr>
        <w:t>部门</w:t>
      </w:r>
      <w:r>
        <w:rPr>
          <w:rFonts w:ascii="EUAAAB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UAAAB+MicrosoftYaHei"/>
          <w:color w:val="000000"/>
          <w:spacing w:val="0"/>
          <w:sz w:val="22"/>
        </w:rPr>
      </w:pPr>
      <w:r>
        <w:rPr>
          <w:rFonts w:ascii="WHNWKM+MicrosoftYaHei" w:hAnsi="WHNWKM+MicrosoftYaHei" w:cs="WHNWKM+MicrosoftYaHei"/>
          <w:color w:val="000000"/>
          <w:spacing w:val="0"/>
          <w:sz w:val="22"/>
        </w:rPr>
        <w:t>联系方式</w:t>
      </w:r>
      <w:r>
        <w:rPr>
          <w:rFonts w:ascii="EUAAAB+MicrosoftYaHei"/>
          <w:color w:val="000000"/>
          <w:spacing w:val="0"/>
          <w:sz w:val="22"/>
        </w:rPr>
        <w:t>:  173****2689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UAAAB+MicrosoftYaHei"/>
          <w:color w:val="000000"/>
          <w:spacing w:val="0"/>
          <w:sz w:val="22"/>
        </w:rPr>
      </w:pPr>
      <w:r>
        <w:rPr>
          <w:rFonts w:ascii="WHNWKM+MicrosoftYaHei" w:hAnsi="WHNWKM+MicrosoftYaHei" w:cs="WHNWKM+MicrosoftYaHei"/>
          <w:color w:val="000000"/>
          <w:spacing w:val="0"/>
          <w:sz w:val="22"/>
        </w:rPr>
        <w:t>身份证号</w:t>
      </w:r>
      <w:r>
        <w:rPr>
          <w:rFonts w:ascii="EUAAAB+MicrosoftYaHei"/>
          <w:color w:val="000000"/>
          <w:spacing w:val="0"/>
          <w:sz w:val="22"/>
        </w:rPr>
        <w:t>: 110102********0037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HNWKM+MicrosoftYaHei" w:hAnsi="WHNWKM+MicrosoftYaHei" w:cs="WHNWKM+MicrosoftYaHei"/>
          <w:color w:val="000000"/>
          <w:spacing w:val="0"/>
          <w:sz w:val="28"/>
        </w:rPr>
      </w:pPr>
      <w:r>
        <w:rPr>
          <w:rFonts w:ascii="WHNWKM+MicrosoftYaHei" w:hAnsi="WHNWKM+MicrosoftYaHei" w:cs="WHNWKM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HNWKM+MicrosoftYaHei" w:hAnsi="WHNWKM+MicrosoftYaHei" w:cs="WHNWKM+MicrosoftYaHei"/>
          <w:color w:val="000000"/>
          <w:spacing w:val="0"/>
          <w:sz w:val="28"/>
        </w:rPr>
      </w:pPr>
      <w:r>
        <w:rPr>
          <w:rFonts w:ascii="WHNWKM+MicrosoftYaHei" w:hAnsi="WHNWKM+MicrosoftYaHei" w:cs="WHNWKM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尊敬的伏卫民先生：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8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ESSWK+Wingdings-Regular" w:hAnsi="DESSWK+Wingdings-Regular" w:cs="DESSWK+Wingdings-Regular"/>
          <w:color w:val="000000"/>
          <w:spacing w:val="0"/>
          <w:sz w:val="23"/>
        </w:rPr>
      </w:pPr>
      <w:r>
        <w:rPr>
          <w:rFonts w:ascii="DESSWK+Wingdings-Regular" w:hAnsi="DESSWK+Wingdings-Regular" w:cs="DESSWK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ESSWK+Wingdings-Regular" w:hAnsi="DESSWK+Wingdings-Regular" w:cs="DESSWK+Wingdings-Regular"/>
          <w:color w:val="000000"/>
          <w:spacing w:val="0"/>
          <w:sz w:val="23"/>
        </w:rPr>
      </w:pPr>
      <w:r>
        <w:rPr>
          <w:rFonts w:ascii="DESSWK+Wingdings-Regular" w:hAnsi="DESSWK+Wingdings-Regular" w:cs="DESSWK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伏卫民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900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(6.23 mmol/L)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(6.2 %)[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地</w:t>
      </w:r>
      <w:r>
        <w:rPr>
          <w:rFonts w:ascii="FangSong" w:hAnsi="FangSong" w:cs="FangSong"/>
          <w:color w:val="000000"/>
          <w:spacing w:val="0"/>
          <w:sz w:val="22"/>
        </w:rPr>
        <w:t>控制饮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538" w:x="1440" w:y="42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代</w:t>
      </w:r>
      <w:r>
        <w:rPr>
          <w:rFonts w:ascii="FangSong" w:hAnsi="FangSong" w:cs="FangSong"/>
          <w:color w:val="000000"/>
          <w:spacing w:val="0"/>
          <w:sz w:val="22"/>
        </w:rPr>
        <w:t>表近</w:t>
      </w:r>
      <w:r>
        <w:rPr>
          <w:rFonts w:ascii="FangSong"/>
          <w:color w:val="000000"/>
          <w:spacing w:val="0"/>
          <w:sz w:val="22"/>
        </w:rPr>
        <w:t>2-3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月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评价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控制程度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调整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；但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贫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8" w:x="1440" w:y="42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异常时，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反映实际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水平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17" w:x="1579" w:y="49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杂</w:t>
      </w:r>
      <w:r>
        <w:rPr>
          <w:rFonts w:ascii="FangSong" w:hAnsi="FangSong" w:cs="FangSong"/>
          <w:color w:val="000000"/>
          <w:spacing w:val="0"/>
          <w:sz w:val="22"/>
        </w:rPr>
        <w:t>，部分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等因素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多饮水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6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67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活动等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71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805" w:x="1190" w:y="77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抗原比值</w:t>
      </w:r>
      <w:r>
        <w:rPr>
          <w:rFonts w:ascii="FangSong"/>
          <w:color w:val="000000"/>
          <w:spacing w:val="0"/>
          <w:sz w:val="22"/>
        </w:rPr>
        <w:t>&lt;0.19[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1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(4.287 ng/ml)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/>
          <w:color w:val="000000"/>
          <w:spacing w:val="0"/>
          <w:sz w:val="22"/>
        </w:rPr>
        <w:t>PSA/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/>
          <w:color w:val="000000"/>
          <w:spacing w:val="0"/>
          <w:sz w:val="22"/>
        </w:rPr>
        <w:t>PSA</w:t>
      </w:r>
      <w:r>
        <w:rPr>
          <w:rFonts w:ascii="FangSong" w:hAnsi="FangSong" w:cs="FangSong"/>
          <w:color w:val="000000"/>
          <w:spacing w:val="0"/>
          <w:sz w:val="22"/>
        </w:rPr>
        <w:t>比值</w:t>
      </w:r>
      <w:r>
        <w:rPr>
          <w:rFonts w:ascii="FangSong"/>
          <w:color w:val="000000"/>
          <w:spacing w:val="0"/>
          <w:sz w:val="22"/>
        </w:rPr>
        <w:t>(0.12 )</w:t>
      </w:r>
    </w:p>
    <w:p>
      <w:pPr>
        <w:pStyle w:val="Normal"/>
        <w:framePr w:w="10411" w:x="1440" w:y="81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生、</w:t>
      </w:r>
      <w:r>
        <w:rPr>
          <w:rFonts w:ascii="FangSong" w:hAnsi="FangSong" w:cs="FangSong"/>
          <w:color w:val="000000"/>
          <w:spacing w:val="0"/>
          <w:sz w:val="22"/>
        </w:rPr>
        <w:t>前列腺炎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殖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的其它疾病，及时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0411" w:x="1440" w:y="81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4475" w:x="1190" w:y="90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90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33" w:x="1190" w:y="97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耳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瘘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661" w:x="1190" w:y="1007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。无感</w:t>
      </w:r>
      <w:r>
        <w:rPr>
          <w:rFonts w:ascii="FangSong" w:hAnsi="FangSong" w:cs="FangSong"/>
          <w:color w:val="000000"/>
          <w:spacing w:val="0"/>
          <w:sz w:val="22"/>
        </w:rPr>
        <w:t>染可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理，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手</w:t>
      </w:r>
      <w:r>
        <w:rPr>
          <w:rFonts w:ascii="FangSong" w:hAnsi="FangSong" w:cs="FangSong"/>
          <w:color w:val="000000"/>
          <w:spacing w:val="0"/>
          <w:sz w:val="22"/>
        </w:rPr>
        <w:t>术摘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8661" w:x="1190" w:y="10079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090" w:x="1190" w:y="1077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90" w:x="1190" w:y="1077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胸膜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34" w:x="1440" w:y="1146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125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258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32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2.6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2.6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14.1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14.1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</w:t>
      </w:r>
      <w:r>
        <w:rPr>
          <w:rFonts w:ascii="FangSong" w:hAnsi="FangSong" w:cs="FangSong"/>
          <w:color w:val="000000"/>
          <w:spacing w:val="0"/>
          <w:sz w:val="22"/>
        </w:rPr>
        <w:t>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67.8Kg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23.32,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>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53.4pt;z-index:-179;width:506.65pt;height:61.9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33.55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1.1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</w:t>
      </w:r>
      <w:r>
        <w:rPr>
          <w:rFonts w:ascii="FangSong" w:hAnsi="FangSong" w:cs="FangSong"/>
          <w:color w:val="000000"/>
          <w:spacing w:val="0"/>
          <w:sz w:val="20"/>
        </w:rPr>
        <w:t>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2316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先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耳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瘘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2210" w:y="57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侧</w:t>
      </w:r>
      <w:r>
        <w:rPr>
          <w:rFonts w:ascii="FangSong" w:hAnsi="FangSong" w:cs="FangSong"/>
          <w:color w:val="000000"/>
          <w:spacing w:val="0"/>
          <w:sz w:val="20"/>
        </w:rPr>
        <w:t>先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耳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瘘</w:t>
      </w:r>
      <w:r>
        <w:rPr>
          <w:rFonts w:ascii="FangSong" w:hAnsi="FangSong" w:cs="FangSong"/>
          <w:color w:val="000000"/>
          <w:spacing w:val="0"/>
          <w:sz w:val="20"/>
        </w:rPr>
        <w:t>管。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63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-1.33,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1360.88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38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-1.24</w:t>
      </w:r>
    </w:p>
    <w:p>
      <w:pPr>
        <w:pStyle w:val="Normal"/>
        <w:framePr w:w="1810" w:x="9480" w:y="14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4.85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12.4pt;z-index:-21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4.1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91.7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31.4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68.85pt;z-index:-231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28.95pt;z-index:-23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66.5pt;z-index:-23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>传播 脉搏传播速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107.6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46.8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84.4pt;z-index:-263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85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6348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32mm,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</w:p>
    <w:p>
      <w:pPr>
        <w:pStyle w:val="Normal"/>
        <w:framePr w:w="7745" w:x="4150" w:y="115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29.3pt;margin-top:146pt;z-index:-287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474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胸膜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474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钝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、心、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213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23.4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：伏卫民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1.42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265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：伏卫民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</w:t>
      </w:r>
    </w:p>
    <w:p>
      <w:pPr>
        <w:pStyle w:val="Normal"/>
        <w:framePr w:w="499" w:x="6398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336.1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9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2.28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400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18.44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1.06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13.34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4.287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499" w:x="6398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601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0.12</w:t>
      </w:r>
    </w:p>
    <w:p>
      <w:pPr>
        <w:pStyle w:val="Normal"/>
        <w:framePr w:w="499" w:x="6398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2.79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312.7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326.35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47.15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60.85pt;z-index:-40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17087813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：伏卫民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WHNWKM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36b7eca-0000-0000-0000-000000000000}"/>
  </w:font>
  <w:font w:name="EUAAAB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8735c5e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ESSWK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d6f519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2721</Words>
  <Characters>5856</Characters>
  <Application>Aspose</Application>
  <DocSecurity>0</DocSecurity>
  <Lines>811</Lines>
  <Paragraphs>811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6262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2019-12-19T17:27:44+08:00</dcterms:created>
  <dcterms:modified xmlns:xsi="http://www.w3.org/2001/XMLSchema-instance" xmlns:dcterms="http://purl.org/dc/terms/" xsi:type="dcterms:W3CDTF">2019-12-19T17:27:44+08:00</dcterms:modified>
</coreProperties>
</file>