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LBWDBO+MicrosoftYaHei" w:hAnsi="LBWDBO+MicrosoftYaHei" w:cs="LBWDBO+MicrosoftYaHei"/>
          <w:color w:val="000000"/>
          <w:spacing w:val="0"/>
          <w:sz w:val="18"/>
        </w:rPr>
      </w:pPr>
      <w:r>
        <w:rPr>
          <w:rFonts w:ascii="LBWDBO+MicrosoftYaHei" w:hAnsi="LBWDBO+MicrosoftYaHei" w:cs="LBWDBO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LNCTT+MicrosoftYaHei"/>
          <w:color w:val="000000"/>
          <w:spacing w:val="0"/>
          <w:sz w:val="22"/>
        </w:rPr>
      </w:pPr>
      <w:r>
        <w:rPr>
          <w:rFonts w:ascii="LBWDBO+MicrosoftYaHei" w:hAnsi="LBWDBO+MicrosoftYaHei" w:cs="LBWDBO+MicrosoftYaHei"/>
          <w:color w:val="000000"/>
          <w:spacing w:val="0"/>
          <w:sz w:val="22"/>
        </w:rPr>
        <w:t>体检日期</w:t>
      </w:r>
      <w:r>
        <w:rPr>
          <w:rFonts w:ascii="VLNCTT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LBWDBO+MicrosoftYaHei" w:hAnsi="LBWDBO+MicrosoftYaHei" w:cs="LBWDBO+MicrosoftYaHei"/>
          <w:color w:val="000000"/>
          <w:spacing w:val="0"/>
          <w:sz w:val="22"/>
        </w:rPr>
      </w:pPr>
      <w:r>
        <w:rPr>
          <w:rFonts w:ascii="LBWDBO+MicrosoftYaHei" w:hAnsi="LBWDBO+MicrosoftYaHei" w:cs="LBWDBO+MicrosoftYaHei"/>
          <w:color w:val="000000"/>
          <w:spacing w:val="0"/>
          <w:sz w:val="22"/>
        </w:rPr>
        <w:t>姓名</w:t>
      </w:r>
      <w:r>
        <w:rPr>
          <w:rFonts w:ascii="VLNCTT+MicrosoftYaHei"/>
          <w:color w:val="000000"/>
          <w:spacing w:val="0"/>
          <w:sz w:val="22"/>
        </w:rPr>
        <w:t xml:space="preserve">:  </w:t>
      </w:r>
      <w:r>
        <w:rPr>
          <w:rFonts w:ascii="LBWDBO+MicrosoftYaHei" w:hAnsi="LBWDBO+MicrosoftYaHei" w:cs="LBWDBO+MicrosoftYaHei"/>
          <w:color w:val="000000"/>
          <w:spacing w:val="0"/>
          <w:sz w:val="22"/>
        </w:rPr>
        <w:t>于欣欣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LNCTT+MicrosoftYaHei"/>
          <w:color w:val="000000"/>
          <w:spacing w:val="0"/>
          <w:sz w:val="22"/>
        </w:rPr>
      </w:pPr>
      <w:r>
        <w:rPr>
          <w:rFonts w:ascii="LBWDBO+MicrosoftYaHei" w:hAnsi="LBWDBO+MicrosoftYaHei" w:cs="LBWDBO+MicrosoftYaHei"/>
          <w:color w:val="000000"/>
          <w:spacing w:val="0"/>
          <w:sz w:val="22"/>
        </w:rPr>
        <w:t>卡号</w:t>
      </w:r>
      <w:r>
        <w:rPr>
          <w:rFonts w:ascii="VLNCTT+MicrosoftYaHei"/>
          <w:color w:val="000000"/>
          <w:spacing w:val="0"/>
          <w:sz w:val="22"/>
        </w:rPr>
        <w:t xml:space="preserve">:  </w:t>
      </w:r>
      <w:r>
        <w:rPr>
          <w:rFonts w:ascii="VLNCTT+MicrosoftYaHei"/>
          <w:color w:val="000000"/>
          <w:spacing w:val="0"/>
          <w:sz w:val="22"/>
        </w:rPr>
        <w:t>18054825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BWDBO+MicrosoftYaHei" w:hAnsi="LBWDBO+MicrosoftYaHei" w:cs="LBWDBO+MicrosoftYaHei"/>
          <w:color w:val="000000"/>
          <w:spacing w:val="0"/>
          <w:sz w:val="22"/>
        </w:rPr>
      </w:pPr>
      <w:r>
        <w:rPr>
          <w:rFonts w:ascii="LBWDBO+MicrosoftYaHei" w:hAnsi="LBWDBO+MicrosoftYaHei" w:cs="LBWDBO+MicrosoftYaHei"/>
          <w:color w:val="000000"/>
          <w:spacing w:val="0"/>
          <w:sz w:val="22"/>
        </w:rPr>
        <w:t>性别</w:t>
      </w:r>
      <w:r>
        <w:rPr>
          <w:rFonts w:ascii="VLNCTT+MicrosoftYaHei"/>
          <w:color w:val="000000"/>
          <w:spacing w:val="0"/>
          <w:sz w:val="22"/>
        </w:rPr>
        <w:t xml:space="preserve">: </w:t>
      </w:r>
      <w:r>
        <w:rPr>
          <w:rFonts w:ascii="LBWDBO+MicrosoftYaHei" w:hAnsi="LBWDBO+MicrosoftYaHei" w:cs="LBWDBO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BWDBO+MicrosoftYaHei" w:hAnsi="LBWDBO+MicrosoftYaHei" w:cs="LBWDBO+MicrosoftYaHei"/>
          <w:color w:val="000000"/>
          <w:spacing w:val="0"/>
          <w:sz w:val="22"/>
        </w:rPr>
      </w:pPr>
      <w:r>
        <w:rPr>
          <w:rFonts w:ascii="LBWDBO+MicrosoftYaHei" w:hAnsi="LBWDBO+MicrosoftYaHei" w:cs="LBWDBO+MicrosoftYaHei"/>
          <w:color w:val="000000"/>
          <w:spacing w:val="0"/>
          <w:sz w:val="22"/>
        </w:rPr>
        <w:t>单位</w:t>
      </w:r>
      <w:r>
        <w:rPr>
          <w:rFonts w:ascii="VLNCTT+MicrosoftYaHei"/>
          <w:color w:val="000000"/>
          <w:spacing w:val="0"/>
          <w:sz w:val="22"/>
        </w:rPr>
        <w:t xml:space="preserve">:  </w:t>
      </w:r>
      <w:r>
        <w:rPr>
          <w:rFonts w:ascii="LBWDBO+MicrosoftYaHei" w:hAnsi="LBWDBO+MicrosoftYaHei" w:cs="LBWDBO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VLNCTT+MicrosoftYaHei"/>
          <w:color w:val="000000"/>
          <w:spacing w:val="0"/>
          <w:sz w:val="22"/>
        </w:rPr>
      </w:pPr>
      <w:r>
        <w:rPr>
          <w:rFonts w:ascii="LBWDBO+MicrosoftYaHei" w:hAnsi="LBWDBO+MicrosoftYaHei" w:cs="LBWDBO+MicrosoftYaHei"/>
          <w:color w:val="000000"/>
          <w:spacing w:val="0"/>
          <w:sz w:val="22"/>
        </w:rPr>
        <w:t>部门</w:t>
      </w:r>
      <w:r>
        <w:rPr>
          <w:rFonts w:ascii="VLNCTT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LNCTT+MicrosoftYaHei"/>
          <w:color w:val="000000"/>
          <w:spacing w:val="0"/>
          <w:sz w:val="22"/>
        </w:rPr>
      </w:pPr>
      <w:r>
        <w:rPr>
          <w:rFonts w:ascii="LBWDBO+MicrosoftYaHei" w:hAnsi="LBWDBO+MicrosoftYaHei" w:cs="LBWDBO+MicrosoftYaHei"/>
          <w:color w:val="000000"/>
          <w:spacing w:val="0"/>
          <w:sz w:val="22"/>
        </w:rPr>
        <w:t>联系方式</w:t>
      </w:r>
      <w:r>
        <w:rPr>
          <w:rFonts w:ascii="VLNCTT+MicrosoftYaHei"/>
          <w:color w:val="000000"/>
          <w:spacing w:val="0"/>
          <w:sz w:val="22"/>
        </w:rPr>
        <w:t>:  188****5079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LNCTT+MicrosoftYaHei"/>
          <w:color w:val="000000"/>
          <w:spacing w:val="0"/>
          <w:sz w:val="22"/>
        </w:rPr>
      </w:pPr>
      <w:r>
        <w:rPr>
          <w:rFonts w:ascii="LBWDBO+MicrosoftYaHei" w:hAnsi="LBWDBO+MicrosoftYaHei" w:cs="LBWDBO+MicrosoftYaHei"/>
          <w:color w:val="000000"/>
          <w:spacing w:val="0"/>
          <w:sz w:val="22"/>
        </w:rPr>
        <w:t>身份证号</w:t>
      </w:r>
      <w:r>
        <w:rPr>
          <w:rFonts w:ascii="VLNCTT+MicrosoftYaHei"/>
          <w:color w:val="000000"/>
          <w:spacing w:val="0"/>
          <w:sz w:val="22"/>
        </w:rPr>
        <w:t>: 371083********6034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BWDBO+MicrosoftYaHei" w:hAnsi="LBWDBO+MicrosoftYaHei" w:cs="LBWDBO+MicrosoftYaHei"/>
          <w:color w:val="000000"/>
          <w:spacing w:val="0"/>
          <w:sz w:val="28"/>
        </w:rPr>
      </w:pPr>
      <w:r>
        <w:rPr>
          <w:rFonts w:ascii="LBWDBO+MicrosoftYaHei" w:hAnsi="LBWDBO+MicrosoftYaHei" w:cs="LBWDBO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BWDBO+MicrosoftYaHei" w:hAnsi="LBWDBO+MicrosoftYaHei" w:cs="LBWDBO+MicrosoftYaHei"/>
          <w:color w:val="000000"/>
          <w:spacing w:val="0"/>
          <w:sz w:val="28"/>
        </w:rPr>
      </w:pPr>
      <w:r>
        <w:rPr>
          <w:rFonts w:ascii="LBWDBO+MicrosoftYaHei" w:hAnsi="LBWDBO+MicrosoftYaHei" w:cs="LBWDBO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18054825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尊敬的于欣欣先生：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GHWOQU+Wingdings-Regular" w:hAnsi="GHWOQU+Wingdings-Regular" w:cs="GHWOQU+Wingdings-Regular"/>
          <w:color w:val="000000"/>
          <w:spacing w:val="0"/>
          <w:sz w:val="23"/>
        </w:rPr>
      </w:pPr>
      <w:r>
        <w:rPr>
          <w:rFonts w:ascii="GHWOQU+Wingdings-Regular" w:hAnsi="GHWOQU+Wingdings-Regular" w:cs="GHWOQU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HWOQU+Wingdings-Regular" w:hAnsi="GHWOQU+Wingdings-Regular" w:cs="GHWOQU+Wingdings-Regular"/>
          <w:color w:val="000000"/>
          <w:spacing w:val="0"/>
          <w:sz w:val="23"/>
        </w:rPr>
      </w:pPr>
      <w:r>
        <w:rPr>
          <w:rFonts w:ascii="GHWOQU+Wingdings-Regular" w:hAnsi="GHWOQU+Wingdings-Regular" w:cs="GHWOQU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于欣欣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病及阳性体征、一般异常结果。检查中发现的无明确临</w:t>
      </w:r>
      <w:r>
        <w:rPr>
          <w:rFonts w:ascii="FangSong" w:hAnsi="FangSong" w:cs="FangSong"/>
          <w:color w:val="000000"/>
          <w:spacing w:val="0"/>
          <w:sz w:val="28"/>
        </w:rPr>
        <w:t>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18054825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57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体重</w:t>
      </w:r>
      <w:r>
        <w:rPr>
          <w:rFonts w:ascii="FangSong" w:hAnsi="FangSong" w:cs="FangSong"/>
          <w:color w:val="000000"/>
          <w:spacing w:val="0"/>
          <w:sz w:val="22"/>
        </w:rPr>
        <w:t>偏轻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27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加强营养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保证每</w:t>
      </w:r>
      <w:r>
        <w:rPr>
          <w:rFonts w:ascii="FangSong" w:hAnsi="FangSong" w:cs="FangSong"/>
          <w:color w:val="000000"/>
          <w:spacing w:val="0"/>
          <w:sz w:val="22"/>
        </w:rPr>
        <w:t>日总</w:t>
      </w:r>
      <w:r>
        <w:rPr>
          <w:rFonts w:ascii="FangSong" w:hAnsi="FangSong" w:cs="FangSong"/>
          <w:color w:val="000000"/>
          <w:spacing w:val="0"/>
          <w:sz w:val="22"/>
        </w:rPr>
        <w:t>热量摄入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适量运动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体重明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下降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找原因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930" w:x="1190" w:y="270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(439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34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340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340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340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094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右束</w:t>
      </w:r>
      <w:r>
        <w:rPr>
          <w:rFonts w:ascii="FangSong" w:hAnsi="FangSong" w:cs="FangSong"/>
          <w:color w:val="000000"/>
          <w:spacing w:val="0"/>
          <w:sz w:val="22"/>
        </w:rPr>
        <w:t>支</w:t>
      </w:r>
      <w:r>
        <w:rPr>
          <w:rFonts w:ascii="FangSong" w:hAnsi="FangSong" w:cs="FangSong"/>
          <w:color w:val="000000"/>
          <w:spacing w:val="0"/>
          <w:sz w:val="22"/>
        </w:rPr>
        <w:t>传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滞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5416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右束</w:t>
      </w:r>
      <w:r>
        <w:rPr>
          <w:rFonts w:ascii="FangSong" w:hAnsi="FangSong" w:cs="FangSong"/>
          <w:color w:val="000000"/>
          <w:spacing w:val="0"/>
          <w:sz w:val="22"/>
        </w:rPr>
        <w:t>支</w:t>
      </w:r>
      <w:r>
        <w:rPr>
          <w:rFonts w:ascii="FangSong" w:hAnsi="FangSong" w:cs="FangSong"/>
          <w:color w:val="000000"/>
          <w:spacing w:val="0"/>
          <w:sz w:val="22"/>
        </w:rPr>
        <w:t>传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滞可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若首次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9930" w:x="1190" w:y="541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电轴右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心室</w:t>
      </w:r>
      <w:r>
        <w:rPr>
          <w:rFonts w:ascii="FangSong" w:hAnsi="FangSong" w:cs="FangSong"/>
          <w:color w:val="000000"/>
          <w:spacing w:val="0"/>
          <w:sz w:val="22"/>
        </w:rPr>
        <w:t>肥厚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右束</w:t>
      </w:r>
      <w:r>
        <w:rPr>
          <w:rFonts w:ascii="FangSong" w:hAnsi="FangSong" w:cs="FangSong"/>
          <w:color w:val="000000"/>
          <w:spacing w:val="0"/>
          <w:sz w:val="22"/>
        </w:rPr>
        <w:t>支</w:t>
      </w:r>
      <w:r>
        <w:rPr>
          <w:rFonts w:ascii="FangSong" w:hAnsi="FangSong" w:cs="FangSong"/>
          <w:color w:val="000000"/>
          <w:spacing w:val="0"/>
          <w:sz w:val="22"/>
        </w:rPr>
        <w:t>传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支阻</w:t>
      </w:r>
      <w:r>
        <w:rPr>
          <w:rFonts w:ascii="FangSong" w:hAnsi="FangSong" w:cs="FangSong"/>
          <w:color w:val="000000"/>
          <w:spacing w:val="0"/>
          <w:sz w:val="22"/>
        </w:rPr>
        <w:t>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但单独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411" w:x="1440" w:y="61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电轴右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 w:hAnsi="FangSong" w:cs="FangSong"/>
          <w:color w:val="000000"/>
          <w:spacing w:val="0"/>
          <w:sz w:val="22"/>
        </w:rPr>
        <w:t>不能作</w:t>
      </w:r>
      <w:r>
        <w:rPr>
          <w:rFonts w:ascii="FangSong" w:hAnsi="FangSong" w:cs="FangSong"/>
          <w:color w:val="000000"/>
          <w:spacing w:val="0"/>
          <w:sz w:val="22"/>
        </w:rPr>
        <w:t>为疾病诊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据，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70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回声斑点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82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8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8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989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5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581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15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44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17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0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95.3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18054825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181cm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8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18.01,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偏轻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/>
          <w:color w:val="000000"/>
          <w:spacing w:val="0"/>
          <w:sz w:val="20"/>
        </w:rPr>
        <w:t>&lt;18.5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0.66,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119mmHg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眼裸眼视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眼裸眼视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18054825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433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完</w:t>
      </w:r>
      <w:r>
        <w:rPr>
          <w:rFonts w:ascii="FangSong" w:hAnsi="FangSong" w:cs="FangSong"/>
          <w:color w:val="000000"/>
          <w:spacing w:val="0"/>
          <w:sz w:val="20"/>
        </w:rPr>
        <w:t>全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右束</w:t>
      </w:r>
      <w:r>
        <w:rPr>
          <w:rFonts w:ascii="FangSong" w:hAnsi="FangSong" w:cs="FangSong"/>
          <w:color w:val="000000"/>
          <w:spacing w:val="0"/>
          <w:sz w:val="20"/>
        </w:rPr>
        <w:t>支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导</w:t>
      </w:r>
      <w:r>
        <w:rPr>
          <w:rFonts w:ascii="FangSong" w:hAnsi="FangSong" w:cs="FangSong"/>
          <w:color w:val="000000"/>
          <w:spacing w:val="0"/>
          <w:sz w:val="20"/>
        </w:rPr>
        <w:t>阻</w:t>
      </w:r>
      <w:r>
        <w:rPr>
          <w:rFonts w:ascii="FangSong" w:hAnsi="FangSong" w:cs="FangSong"/>
          <w:color w:val="000000"/>
          <w:spacing w:val="0"/>
          <w:sz w:val="20"/>
        </w:rPr>
        <w:t>滞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2210" w:y="11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电轴右</w:t>
      </w:r>
      <w:r>
        <w:rPr>
          <w:rFonts w:ascii="FangSong" w:hAnsi="FangSong" w:cs="FangSong"/>
          <w:color w:val="000000"/>
          <w:spacing w:val="0"/>
          <w:sz w:val="20"/>
        </w:rPr>
        <w:t>偏</w:t>
      </w:r>
    </w:p>
    <w:p>
      <w:pPr>
        <w:pStyle w:val="Normal"/>
        <w:framePr w:w="1810" w:x="9480" w:y="11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1" w:x="1450" w:y="124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31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31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31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311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1.1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8.55pt;z-index:-195;width:507pt;height:39.1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15.9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53.5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91.9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18054825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见强</w:t>
      </w:r>
      <w:r>
        <w:rPr>
          <w:rFonts w:ascii="FangSong" w:hAnsi="FangSong" w:cs="FangSong"/>
          <w:color w:val="000000"/>
          <w:spacing w:val="0"/>
          <w:sz w:val="22"/>
        </w:rPr>
        <w:t>回声灶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2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981" w:x="7747" w:y="139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13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189.7pt;margin-top:146pt;z-index:-227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66.4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18054825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125.85pt;z-index:-24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189.7pt;margin-top:146pt;z-index:-247;width:232.55pt;height:219.9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18054825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24pt;margin-top:54.15pt;z-index:-25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23.65pt;margin-top:28.95pt;z-index:-26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9.3pt;margin-top:102.05pt;z-index:-26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5.5pt;margin-top:525.05pt;z-index:-27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18054825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：于欣欣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5.7pt;margin-top:29.95pt;z-index:-2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37.3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2.7pt;margin-top:160.75pt;z-index:-2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4.3pt;margin-top:174.45pt;z-index:-29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76.6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18054825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：于欣欣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7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</w:t>
      </w:r>
      <w:r>
        <w:rPr>
          <w:rFonts w:ascii="FangSong" w:hAnsi="FangSong" w:cs="FangSong"/>
          <w:color w:val="000000"/>
          <w:spacing w:val="0"/>
          <w:sz w:val="20"/>
        </w:rPr>
        <w:t>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499" w:x="6398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4.61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439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4.21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2.52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2.45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18.61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0.74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11.99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0.764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9.72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0.38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0.98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5.7pt;margin-top:29.95pt;z-index:-3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137.35pt;z-index:-30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2.7pt;margin-top:312.7pt;z-index:-3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4.3pt;margin-top:326.35pt;z-index:-31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547.15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560.85pt;z-index:-32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76.6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18054825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：于欣欣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776.6pt;z-index:-3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BWDBO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bcc1d13-0000-0000-0000-000000000000}"/>
  </w:font>
  <w:font w:name="VLNCTT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96fc230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HWOQU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2d6d54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styles" Target="styles.xml" /><Relationship Id="rId89" Type="http://schemas.openxmlformats.org/officeDocument/2006/relationships/fontTable" Target="fontTable.xml" /><Relationship Id="rId9" Type="http://schemas.openxmlformats.org/officeDocument/2006/relationships/image" Target="media/image9.jpeg" /><Relationship Id="rId90" Type="http://schemas.openxmlformats.org/officeDocument/2006/relationships/settings" Target="settings.xml" /><Relationship Id="rId91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2324</Words>
  <Characters>5084</Characters>
  <Application>Aspose</Application>
  <DocSecurity>0</DocSecurity>
  <Lines>746</Lines>
  <Paragraphs>746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5474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2019-12-19T17:27:59+08:00</dcterms:created>
  <dcterms:modified xmlns:xsi="http://www.w3.org/2001/XMLSchema-instance" xmlns:dcterms="http://purl.org/dc/terms/" xsi:type="dcterms:W3CDTF">2019-12-19T17:27:59+08:00</dcterms:modified>
</coreProperties>
</file>