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UHUQMI+MicrosoftYaHei" w:hAnsi="UHUQMI+MicrosoftYaHei" w:cs="UHUQMI+MicrosoftYaHei"/>
          <w:color w:val="000000"/>
          <w:spacing w:val="0"/>
          <w:sz w:val="18"/>
        </w:rPr>
      </w:pPr>
      <w:r>
        <w:rPr>
          <w:rFonts w:ascii="UHUQMI+MicrosoftYaHei" w:hAnsi="UHUQMI+MicrosoftYaHei" w:cs="UHUQMI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DGQUCV+MicrosoftYaHei"/>
          <w:color w:val="000000"/>
          <w:spacing w:val="0"/>
          <w:sz w:val="22"/>
        </w:rPr>
      </w:pPr>
      <w:r>
        <w:rPr>
          <w:rFonts w:ascii="UHUQMI+MicrosoftYaHei" w:hAnsi="UHUQMI+MicrosoftYaHei" w:cs="UHUQMI+MicrosoftYaHei"/>
          <w:color w:val="000000"/>
          <w:spacing w:val="0"/>
          <w:sz w:val="22"/>
        </w:rPr>
        <w:t>体检日期</w:t>
      </w:r>
      <w:r>
        <w:rPr>
          <w:rFonts w:ascii="DGQUCV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UHUQMI+MicrosoftYaHei" w:hAnsi="UHUQMI+MicrosoftYaHei" w:cs="UHUQMI+MicrosoftYaHei"/>
          <w:color w:val="000000"/>
          <w:spacing w:val="0"/>
          <w:sz w:val="22"/>
        </w:rPr>
      </w:pPr>
      <w:r>
        <w:rPr>
          <w:rFonts w:ascii="UHUQMI+MicrosoftYaHei" w:hAnsi="UHUQMI+MicrosoftYaHei" w:cs="UHUQMI+MicrosoftYaHei"/>
          <w:color w:val="000000"/>
          <w:spacing w:val="0"/>
          <w:sz w:val="22"/>
        </w:rPr>
        <w:t>姓名</w:t>
      </w:r>
      <w:r>
        <w:rPr>
          <w:rFonts w:ascii="DGQUCV+MicrosoftYaHei"/>
          <w:color w:val="000000"/>
          <w:spacing w:val="0"/>
          <w:sz w:val="22"/>
        </w:rPr>
        <w:t xml:space="preserve">:  </w:t>
      </w:r>
      <w:r>
        <w:rPr>
          <w:rFonts w:ascii="UHUQMI+MicrosoftYaHei" w:hAnsi="UHUQMI+MicrosoftYaHei" w:cs="UHUQMI+MicrosoftYaHei"/>
          <w:color w:val="000000"/>
          <w:spacing w:val="0"/>
          <w:sz w:val="22"/>
        </w:rPr>
        <w:t>李洪军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DGQUCV+MicrosoftYaHei"/>
          <w:color w:val="000000"/>
          <w:spacing w:val="0"/>
          <w:sz w:val="22"/>
        </w:rPr>
      </w:pPr>
      <w:r>
        <w:rPr>
          <w:rFonts w:ascii="UHUQMI+MicrosoftYaHei" w:hAnsi="UHUQMI+MicrosoftYaHei" w:cs="UHUQMI+MicrosoftYaHei"/>
          <w:color w:val="000000"/>
          <w:spacing w:val="0"/>
          <w:sz w:val="22"/>
        </w:rPr>
        <w:t>卡号</w:t>
      </w:r>
      <w:r>
        <w:rPr>
          <w:rFonts w:ascii="DGQUCV+MicrosoftYaHei"/>
          <w:color w:val="000000"/>
          <w:spacing w:val="0"/>
          <w:sz w:val="22"/>
        </w:rPr>
        <w:t xml:space="preserve">:  </w:t>
      </w:r>
      <w:r>
        <w:rPr>
          <w:rFonts w:ascii="DGQUCV+MicrosoftYaHei"/>
          <w:color w:val="000000"/>
          <w:spacing w:val="0"/>
          <w:sz w:val="22"/>
        </w:rPr>
        <w:t>17086961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HUQMI+MicrosoftYaHei" w:hAnsi="UHUQMI+MicrosoftYaHei" w:cs="UHUQMI+MicrosoftYaHei"/>
          <w:color w:val="000000"/>
          <w:spacing w:val="0"/>
          <w:sz w:val="22"/>
        </w:rPr>
      </w:pPr>
      <w:r>
        <w:rPr>
          <w:rFonts w:ascii="UHUQMI+MicrosoftYaHei" w:hAnsi="UHUQMI+MicrosoftYaHei" w:cs="UHUQMI+MicrosoftYaHei"/>
          <w:color w:val="000000"/>
          <w:spacing w:val="0"/>
          <w:sz w:val="22"/>
        </w:rPr>
        <w:t>性别</w:t>
      </w:r>
      <w:r>
        <w:rPr>
          <w:rFonts w:ascii="DGQUCV+MicrosoftYaHei"/>
          <w:color w:val="000000"/>
          <w:spacing w:val="0"/>
          <w:sz w:val="22"/>
        </w:rPr>
        <w:t xml:space="preserve">: </w:t>
      </w:r>
      <w:r>
        <w:rPr>
          <w:rFonts w:ascii="UHUQMI+MicrosoftYaHei" w:hAnsi="UHUQMI+MicrosoftYaHei" w:cs="UHUQMI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HUQMI+MicrosoftYaHei" w:hAnsi="UHUQMI+MicrosoftYaHei" w:cs="UHUQMI+MicrosoftYaHei"/>
          <w:color w:val="000000"/>
          <w:spacing w:val="0"/>
          <w:sz w:val="22"/>
        </w:rPr>
      </w:pPr>
      <w:r>
        <w:rPr>
          <w:rFonts w:ascii="UHUQMI+MicrosoftYaHei" w:hAnsi="UHUQMI+MicrosoftYaHei" w:cs="UHUQMI+MicrosoftYaHei"/>
          <w:color w:val="000000"/>
          <w:spacing w:val="0"/>
          <w:sz w:val="22"/>
        </w:rPr>
        <w:t>单位</w:t>
      </w:r>
      <w:r>
        <w:rPr>
          <w:rFonts w:ascii="DGQUCV+MicrosoftYaHei"/>
          <w:color w:val="000000"/>
          <w:spacing w:val="0"/>
          <w:sz w:val="22"/>
        </w:rPr>
        <w:t xml:space="preserve">:  </w:t>
      </w:r>
      <w:r>
        <w:rPr>
          <w:rFonts w:ascii="UHUQMI+MicrosoftYaHei" w:hAnsi="UHUQMI+MicrosoftYaHei" w:cs="UHUQMI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DGQUCV+MicrosoftYaHei"/>
          <w:color w:val="000000"/>
          <w:spacing w:val="0"/>
          <w:sz w:val="22"/>
        </w:rPr>
      </w:pPr>
      <w:r>
        <w:rPr>
          <w:rFonts w:ascii="UHUQMI+MicrosoftYaHei" w:hAnsi="UHUQMI+MicrosoftYaHei" w:cs="UHUQMI+MicrosoftYaHei"/>
          <w:color w:val="000000"/>
          <w:spacing w:val="0"/>
          <w:sz w:val="22"/>
        </w:rPr>
        <w:t>部门</w:t>
      </w:r>
      <w:r>
        <w:rPr>
          <w:rFonts w:ascii="DGQUCV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DGQUCV+MicrosoftYaHei"/>
          <w:color w:val="000000"/>
          <w:spacing w:val="0"/>
          <w:sz w:val="22"/>
        </w:rPr>
      </w:pPr>
      <w:r>
        <w:rPr>
          <w:rFonts w:ascii="UHUQMI+MicrosoftYaHei" w:hAnsi="UHUQMI+MicrosoftYaHei" w:cs="UHUQMI+MicrosoftYaHei"/>
          <w:color w:val="000000"/>
          <w:spacing w:val="0"/>
          <w:sz w:val="22"/>
        </w:rPr>
        <w:t>联系方式</w:t>
      </w:r>
      <w:r>
        <w:rPr>
          <w:rFonts w:ascii="DGQUCV+MicrosoftYaHei"/>
          <w:color w:val="000000"/>
          <w:spacing w:val="0"/>
          <w:sz w:val="22"/>
        </w:rPr>
        <w:t>:  156****9657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DGQUCV+MicrosoftYaHei"/>
          <w:color w:val="000000"/>
          <w:spacing w:val="0"/>
          <w:sz w:val="22"/>
        </w:rPr>
      </w:pPr>
      <w:r>
        <w:rPr>
          <w:rFonts w:ascii="UHUQMI+MicrosoftYaHei" w:hAnsi="UHUQMI+MicrosoftYaHei" w:cs="UHUQMI+MicrosoftYaHei"/>
          <w:color w:val="000000"/>
          <w:spacing w:val="0"/>
          <w:sz w:val="22"/>
        </w:rPr>
        <w:t>身份证号</w:t>
      </w:r>
      <w:r>
        <w:rPr>
          <w:rFonts w:ascii="DGQUCV+MicrosoftYaHei"/>
          <w:color w:val="000000"/>
          <w:spacing w:val="0"/>
          <w:sz w:val="22"/>
        </w:rPr>
        <w:t>: 370625********0934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UHUQMI+MicrosoftYaHei" w:hAnsi="UHUQMI+MicrosoftYaHei" w:cs="UHUQMI+MicrosoftYaHei"/>
          <w:color w:val="000000"/>
          <w:spacing w:val="0"/>
          <w:sz w:val="28"/>
        </w:rPr>
      </w:pPr>
      <w:r>
        <w:rPr>
          <w:rFonts w:ascii="UHUQMI+MicrosoftYaHei" w:hAnsi="UHUQMI+MicrosoftYaHei" w:cs="UHUQMI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UHUQMI+MicrosoftYaHei" w:hAnsi="UHUQMI+MicrosoftYaHei" w:cs="UHUQMI+MicrosoftYaHei"/>
          <w:color w:val="000000"/>
          <w:spacing w:val="0"/>
          <w:sz w:val="28"/>
        </w:rPr>
      </w:pPr>
      <w:r>
        <w:rPr>
          <w:rFonts w:ascii="UHUQMI+MicrosoftYaHei" w:hAnsi="UHUQMI+MicrosoftYaHei" w:cs="UHUQMI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17086961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131804160048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尊敬的李洪军先生：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VVGCAS+Wingdings-Regular" w:hAnsi="VVGCAS+Wingdings-Regular" w:cs="VVGCAS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VVGCAS+Wingdings-Regular" w:hAnsi="VVGCAS+Wingdings-Regular" w:cs="VVGCAS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VVGCAS+Wingdings-Regular" w:hAnsi="VVGCAS+Wingdings-Regular" w:cs="VVGCAS+Wingdings-Regular"/>
          <w:color w:val="000000"/>
          <w:spacing w:val="0"/>
          <w:sz w:val="23"/>
        </w:rPr>
      </w:pPr>
      <w:r>
        <w:rPr>
          <w:rFonts w:ascii="VVGCAS+Wingdings-Regular" w:hAnsi="VVGCAS+Wingdings-Regular" w:cs="VVGCAS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李洪军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17086961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131804160048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4221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空腹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(7.03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各型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状腺机</w:t>
      </w:r>
      <w:r>
        <w:rPr>
          <w:rFonts w:ascii="FangSong" w:hAnsi="FangSong" w:cs="FangSong"/>
          <w:color w:val="000000"/>
          <w:spacing w:val="0"/>
          <w:sz w:val="22"/>
        </w:rPr>
        <w:t>能亢</w:t>
      </w:r>
      <w:r>
        <w:rPr>
          <w:rFonts w:ascii="FangSong" w:hAnsi="FangSong" w:cs="FangSong"/>
          <w:color w:val="000000"/>
          <w:spacing w:val="0"/>
          <w:sz w:val="22"/>
        </w:rPr>
        <w:t>进、</w:t>
      </w:r>
      <w:r>
        <w:rPr>
          <w:rFonts w:ascii="FangSong" w:hAnsi="FangSong" w:cs="FangSong"/>
          <w:color w:val="000000"/>
          <w:spacing w:val="0"/>
          <w:sz w:val="22"/>
        </w:rPr>
        <w:t>各种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腺肿瘤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垂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瘤等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原则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可</w:t>
      </w:r>
    </w:p>
    <w:p>
      <w:pPr>
        <w:pStyle w:val="Normal"/>
        <w:framePr w:w="10538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应专</w:t>
      </w:r>
      <w:r>
        <w:rPr>
          <w:rFonts w:ascii="FangSong" w:hAnsi="FangSong" w:cs="FangSong"/>
          <w:color w:val="000000"/>
          <w:spacing w:val="0"/>
          <w:sz w:val="22"/>
        </w:rPr>
        <w:t>科诊治。生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学地控制饮食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，生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奏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紧张度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6123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/>
          <w:color w:val="000000"/>
          <w:spacing w:val="0"/>
          <w:sz w:val="22"/>
        </w:rPr>
        <w:t>(3.68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/>
          <w:color w:val="000000"/>
          <w:spacing w:val="0"/>
          <w:sz w:val="22"/>
        </w:rPr>
        <w:t>(0.94 mmol/L)</w:t>
      </w:r>
    </w:p>
    <w:p>
      <w:pPr>
        <w:pStyle w:val="Normal"/>
        <w:framePr w:w="10408" w:x="1440" w:y="36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疗和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</w:t>
      </w:r>
    </w:p>
    <w:p>
      <w:pPr>
        <w:pStyle w:val="Normal"/>
        <w:framePr w:w="10408" w:x="1440" w:y="368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46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4475" w:x="1190" w:y="50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10411" w:x="1440" w:y="5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，建议</w:t>
      </w:r>
      <w:r>
        <w:rPr>
          <w:rFonts w:ascii="FangSong" w:hAnsi="FangSong" w:cs="FangSong"/>
          <w:color w:val="000000"/>
          <w:spacing w:val="0"/>
          <w:sz w:val="22"/>
        </w:rPr>
        <w:t>依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龄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自身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况</w:t>
      </w:r>
      <w:r>
        <w:rPr>
          <w:rFonts w:ascii="FangSong" w:hAnsi="FangSong" w:cs="FangSong"/>
          <w:color w:val="000000"/>
          <w:spacing w:val="0"/>
          <w:sz w:val="22"/>
        </w:rPr>
        <w:t>适当增</w:t>
      </w:r>
      <w:r>
        <w:rPr>
          <w:rFonts w:ascii="FangSong" w:hAnsi="FangSong" w:cs="FangSong"/>
          <w:color w:val="000000"/>
          <w:spacing w:val="0"/>
          <w:sz w:val="22"/>
        </w:rPr>
        <w:t>加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量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热量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要时在</w:t>
      </w:r>
    </w:p>
    <w:p>
      <w:pPr>
        <w:pStyle w:val="Normal"/>
        <w:framePr w:w="10411" w:x="1440" w:y="541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疗以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体重。</w:t>
      </w:r>
    </w:p>
    <w:p>
      <w:pPr>
        <w:pStyle w:val="Normal"/>
        <w:framePr w:w="2124" w:x="1190" w:y="60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63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缺乏口腔清洁习惯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牙面粗糙或牙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列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齐</w:t>
      </w:r>
      <w:r>
        <w:rPr>
          <w:rFonts w:ascii="FangSong" w:hAnsi="FangSong" w:cs="FangSong"/>
          <w:color w:val="000000"/>
          <w:spacing w:val="0"/>
          <w:sz w:val="22"/>
        </w:rPr>
        <w:t>有关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引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牙龈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牙周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洁</w:t>
      </w:r>
    </w:p>
    <w:p>
      <w:pPr>
        <w:pStyle w:val="Normal"/>
        <w:framePr w:w="10157" w:x="1440" w:y="639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口腔清洁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571" w:x="1190" w:y="70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571" w:x="1190" w:y="7024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221" w:x="1190" w:y="77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284" w:x="1440" w:y="80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都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</w:p>
    <w:p>
      <w:pPr>
        <w:pStyle w:val="Normal"/>
        <w:framePr w:w="10284" w:x="1440" w:y="806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571" w:x="1190" w:y="86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329" w:x="1190" w:y="9040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，建议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329" w:x="1190" w:y="9040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8506" w:x="1440" w:y="97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检查结果：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/>
          <w:color w:val="000000"/>
          <w:spacing w:val="0"/>
          <w:sz w:val="22"/>
        </w:rPr>
        <w:t>(9.74x10^9/L)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细胞绝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/>
          <w:color w:val="000000"/>
          <w:spacing w:val="0"/>
          <w:sz w:val="22"/>
        </w:rPr>
        <w:t>(4.18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</w:t>
      </w:r>
    </w:p>
    <w:p>
      <w:pPr>
        <w:pStyle w:val="Normal"/>
        <w:framePr w:w="8506" w:x="1440" w:y="972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建议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异常请进一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1655" w:x="1579" w:y="104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455" w:x="1190" w:y="10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1.T</w:t>
      </w:r>
      <w:r>
        <w:rPr>
          <w:rFonts w:ascii="FangSong" w:hAnsi="FangSong" w:cs="FangSong"/>
          <w:color w:val="000000"/>
          <w:spacing w:val="0"/>
          <w:sz w:val="22"/>
        </w:rPr>
        <w:t>波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平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5" w:x="1440" w:y="11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发现</w:t>
      </w:r>
      <w:r>
        <w:rPr>
          <w:rFonts w:ascii="FangSong" w:hAnsi="FangSong" w:cs="FangSong"/>
          <w:color w:val="000000"/>
          <w:spacing w:val="0"/>
          <w:sz w:val="22"/>
        </w:rPr>
        <w:t>器质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病的</w:t>
      </w:r>
      <w:r>
        <w:rPr>
          <w:rFonts w:ascii="FangSong" w:hAnsi="FangSong" w:cs="FangSong"/>
          <w:color w:val="000000"/>
          <w:spacing w:val="0"/>
          <w:sz w:val="22"/>
        </w:rPr>
        <w:t>单独</w:t>
      </w:r>
      <w:r>
        <w:rPr>
          <w:rFonts w:ascii="FangSong"/>
          <w:color w:val="000000"/>
          <w:spacing w:val="0"/>
          <w:sz w:val="22"/>
        </w:rPr>
        <w:t>T</w:t>
      </w:r>
      <w:r>
        <w:rPr>
          <w:rFonts w:ascii="FangSong" w:hAnsi="FangSong" w:cs="FangSong"/>
          <w:color w:val="000000"/>
          <w:spacing w:val="0"/>
          <w:sz w:val="22"/>
        </w:rPr>
        <w:t>波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平或倒置</w:t>
      </w:r>
      <w:r>
        <w:rPr>
          <w:rFonts w:ascii="FangSong" w:hAnsi="FangSong" w:cs="FangSong"/>
          <w:color w:val="000000"/>
          <w:spacing w:val="0"/>
          <w:sz w:val="22"/>
        </w:rPr>
        <w:t>，常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饱餐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过度</w:t>
      </w:r>
      <w:r>
        <w:rPr>
          <w:rFonts w:ascii="FangSong" w:hAnsi="FangSong" w:cs="FangSong"/>
          <w:color w:val="000000"/>
          <w:spacing w:val="0"/>
          <w:sz w:val="22"/>
        </w:rPr>
        <w:t>换气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情绪</w:t>
      </w:r>
      <w:r>
        <w:rPr>
          <w:rFonts w:ascii="FangSong" w:hAnsi="FangSong" w:cs="FangSong"/>
          <w:color w:val="000000"/>
          <w:spacing w:val="0"/>
          <w:sz w:val="22"/>
        </w:rPr>
        <w:t>紧张等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0535" w:x="1440" w:y="11161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、体征及其它心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项目</w:t>
      </w:r>
      <w:r>
        <w:rPr>
          <w:rFonts w:ascii="FangSong" w:hAnsi="FangSong" w:cs="FangSong"/>
          <w:color w:val="000000"/>
          <w:spacing w:val="0"/>
          <w:sz w:val="22"/>
        </w:rPr>
        <w:t>结果异常，请进一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345" w:x="1190" w:y="117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21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年性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构退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过度饮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量</w:t>
      </w:r>
      <w:r>
        <w:rPr>
          <w:rFonts w:ascii="FangSong" w:hAnsi="FangSong" w:cs="FangSong"/>
          <w:color w:val="000000"/>
          <w:spacing w:val="0"/>
          <w:sz w:val="22"/>
        </w:rPr>
        <w:t>咖啡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缺乏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</w:t>
      </w:r>
      <w:r>
        <w:rPr>
          <w:rFonts w:ascii="FangSong" w:hAnsi="FangSong" w:cs="FangSong"/>
          <w:color w:val="000000"/>
          <w:spacing w:val="0"/>
          <w:sz w:val="22"/>
        </w:rPr>
        <w:t>活动等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在的</w:t>
      </w:r>
      <w:r>
        <w:rPr>
          <w:rFonts w:ascii="FangSong" w:hAnsi="FangSong" w:cs="FangSong"/>
          <w:color w:val="000000"/>
          <w:spacing w:val="0"/>
          <w:sz w:val="22"/>
        </w:rPr>
        <w:t>原</w:t>
      </w:r>
    </w:p>
    <w:p>
      <w:pPr>
        <w:pStyle w:val="Normal"/>
        <w:framePr w:w="10411" w:x="1440" w:y="1213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防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疏松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防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跌</w:t>
      </w:r>
      <w:r>
        <w:rPr>
          <w:rFonts w:ascii="FangSong" w:hAnsi="FangSong" w:cs="FangSong"/>
          <w:color w:val="000000"/>
          <w:spacing w:val="0"/>
          <w:sz w:val="22"/>
        </w:rPr>
        <w:t>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5237" w:x="1190" w:y="127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[B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4" w:x="1440" w:y="131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各种</w:t>
      </w:r>
      <w:r>
        <w:rPr>
          <w:rFonts w:ascii="FangSong" w:hAnsi="FangSong" w:cs="FangSong"/>
          <w:color w:val="000000"/>
          <w:spacing w:val="0"/>
          <w:sz w:val="22"/>
        </w:rPr>
        <w:t>类</w:t>
      </w:r>
      <w:r>
        <w:rPr>
          <w:rFonts w:ascii="FangSong" w:hAnsi="FangSong" w:cs="FangSong"/>
          <w:color w:val="000000"/>
          <w:spacing w:val="0"/>
          <w:sz w:val="22"/>
        </w:rPr>
        <w:t>型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前列腺炎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其它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临床症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</w:t>
      </w:r>
    </w:p>
    <w:p>
      <w:pPr>
        <w:pStyle w:val="Normal"/>
        <w:framePr w:w="772" w:x="1440" w:y="134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治。</w:t>
      </w:r>
    </w:p>
    <w:p>
      <w:pPr>
        <w:pStyle w:val="Normal"/>
        <w:framePr w:w="2124" w:x="1190" w:y="137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930" w:x="1190" w:y="14094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发生</w:t>
      </w:r>
      <w:r>
        <w:rPr>
          <w:rFonts w:ascii="FangSong" w:hAnsi="FangSong" w:cs="FangSong"/>
          <w:color w:val="000000"/>
          <w:spacing w:val="0"/>
          <w:sz w:val="22"/>
        </w:rPr>
        <w:t>机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明了，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能是肾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憩</w:t>
      </w:r>
      <w:r>
        <w:rPr>
          <w:rFonts w:ascii="FangSong" w:hAnsi="FangSong" w:cs="FangSong"/>
          <w:color w:val="000000"/>
          <w:spacing w:val="0"/>
          <w:sz w:val="22"/>
        </w:rPr>
        <w:t>室发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部分</w:t>
      </w:r>
      <w:r>
        <w:rPr>
          <w:rFonts w:ascii="FangSong" w:hAnsi="FangSong" w:cs="FangSong"/>
          <w:color w:val="000000"/>
          <w:spacing w:val="0"/>
          <w:sz w:val="22"/>
        </w:rPr>
        <w:t>组织囊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9930" w:x="1190" w:y="14094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迂曲延长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47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吸</w:t>
      </w:r>
      <w:r>
        <w:rPr>
          <w:rFonts w:ascii="FangSong" w:hAnsi="FangSong" w:cs="FangSong"/>
          <w:color w:val="000000"/>
          <w:spacing w:val="0"/>
          <w:sz w:val="22"/>
        </w:rPr>
        <w:t>烟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发病，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</w:t>
      </w:r>
      <w:r>
        <w:rPr>
          <w:rFonts w:ascii="FangSong" w:hAnsi="FangSong" w:cs="FangSong"/>
          <w:color w:val="000000"/>
          <w:spacing w:val="0"/>
          <w:sz w:val="22"/>
        </w:rPr>
        <w:t>烟</w:t>
      </w:r>
    </w:p>
    <w:p>
      <w:pPr>
        <w:pStyle w:val="Normal"/>
        <w:framePr w:w="10411" w:x="1440" w:y="147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跟酒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28.3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28.3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515.6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515.6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17086961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131804160048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25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:2018-04-18</w:t>
      </w:r>
    </w:p>
    <w:p>
      <w:pPr>
        <w:pStyle w:val="Normal"/>
        <w:framePr w:w="1558" w:x="5292" w:y="36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487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516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545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181.3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17086961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131804160048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171.5cm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90.9Kg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99cm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111cm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30.91,</w:t>
      </w:r>
      <w:r>
        <w:rPr>
          <w:rFonts w:ascii="FangSong" w:hAnsi="FangSong" w:cs="FangSong"/>
          <w:color w:val="000000"/>
          <w:spacing w:val="0"/>
          <w:sz w:val="20"/>
        </w:rPr>
        <w:t>肥胖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  <w:r>
        <w:rPr>
          <w:rFonts w:ascii="FangSong" w:hAnsi="FangSong" w:cs="FangSong"/>
          <w:color w:val="000000"/>
          <w:spacing w:val="0"/>
          <w:sz w:val="20"/>
        </w:rPr>
        <w:t>≥</w:t>
      </w:r>
      <w:r>
        <w:rPr>
          <w:rFonts w:ascii="FangSong"/>
          <w:color w:val="000000"/>
          <w:spacing w:val="0"/>
          <w:sz w:val="20"/>
        </w:rPr>
        <w:t>28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134mmHg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</w:t>
      </w:r>
      <w:r>
        <w:rPr>
          <w:rFonts w:ascii="FangSong" w:hAnsi="FangSong" w:cs="FangSong"/>
          <w:color w:val="000000"/>
          <w:spacing w:val="0"/>
          <w:sz w:val="20"/>
        </w:rPr>
        <w:t>张压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87mmHg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秀影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</w:t>
      </w:r>
      <w:r>
        <w:rPr>
          <w:rFonts w:ascii="FangSong" w:hAnsi="FangSong" w:cs="FangSong"/>
          <w:color w:val="000000"/>
          <w:spacing w:val="0"/>
          <w:sz w:val="20"/>
        </w:rPr>
        <w:t>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810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043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09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910" w:x="221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2210" w:y="1097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547" w:x="805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1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50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3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701" w:x="1450" w:y="127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107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右眼裸眼视</w:t>
      </w:r>
    </w:p>
    <w:p>
      <w:pPr>
        <w:pStyle w:val="Normal"/>
        <w:framePr w:w="1306" w:x="914" w:y="1345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4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9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左眼裸眼视</w:t>
      </w:r>
    </w:p>
    <w:p>
      <w:pPr>
        <w:pStyle w:val="Normal"/>
        <w:framePr w:w="1306" w:x="914" w:y="1399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9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993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39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995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5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452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1.45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79pt;z-index:-175;width:507pt;height:60.8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5.25pt;margin-top:547.05pt;z-index:-179;width:506.65pt;height:68.3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33.55pt;z-index:-18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671.1pt;z-index:-187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3.9pt;margin-top:770.35pt;z-index:-1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0pt;margin-top:0pt;z-index:-1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17086961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131804160048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69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74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齿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石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9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97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2210" w:y="9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7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7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97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9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101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499" w:x="914" w:y="1014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701" w:x="6754" w:y="101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0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109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：李</w:t>
      </w:r>
      <w:r>
        <w:rPr>
          <w:rFonts w:ascii="FangSong" w:hAnsi="FangSong" w:cs="FangSong"/>
          <w:color w:val="000000"/>
          <w:spacing w:val="0"/>
          <w:sz w:val="20"/>
        </w:rPr>
        <w:t>桂英</w:t>
      </w:r>
    </w:p>
    <w:p>
      <w:pPr>
        <w:pStyle w:val="Normal"/>
        <w:framePr w:w="1810" w:x="9480" w:y="10938"/>
        <w:widowControl w:val="off"/>
        <w:autoSpaceDE w:val="off"/>
        <w:autoSpaceDN w:val="off"/>
        <w:spacing w:before="0" w:after="0" w:line="154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1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74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11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3" w:x="2210" w:y="120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平</w:t>
      </w:r>
    </w:p>
    <w:p>
      <w:pPr>
        <w:pStyle w:val="Normal"/>
        <w:framePr w:w="902" w:x="1450" w:y="12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116" w:x="914" w:y="1328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3287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328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28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287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328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709" w:x="2210" w:y="136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-1.27,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质</w:t>
      </w:r>
      <w:r>
        <w:rPr>
          <w:rFonts w:ascii="FangSong" w:hAnsi="FangSong" w:cs="FangSong"/>
          <w:color w:val="000000"/>
          <w:spacing w:val="0"/>
          <w:sz w:val="20"/>
        </w:rPr>
        <w:t>减</w:t>
      </w:r>
      <w:r>
        <w:rPr>
          <w:rFonts w:ascii="FangSong" w:hAnsi="FangSong" w:cs="FangSong"/>
          <w:color w:val="000000"/>
          <w:spacing w:val="0"/>
          <w:sz w:val="20"/>
        </w:rPr>
        <w:t>少</w:t>
      </w:r>
    </w:p>
    <w:p>
      <w:pPr>
        <w:pStyle w:val="Normal"/>
        <w:framePr w:w="1507" w:x="8050" w:y="136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1359.57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40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803" w:x="2210" w:y="14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-1.22</w:t>
      </w:r>
    </w:p>
    <w:p>
      <w:pPr>
        <w:pStyle w:val="Normal"/>
        <w:framePr w:w="1810" w:x="9480" w:y="144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43.55pt;margin-top:44.1pt;z-index:-199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30pt;z-index:-20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67.45pt;z-index:-207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68.5pt;z-index:-21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405.9pt;z-index:-215;width:507pt;height:141.3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65.4pt;z-index:-21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602.95pt;z-index:-223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42.55pt;z-index:-22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80.1pt;z-index:-231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70.7pt;margin-top:740.25pt;z-index:-235;width:537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5.95pt;margin-top:742.3pt;z-index:-239;width:19.1pt;height:14.1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3.9pt;margin-top:770.35pt;z-index:-24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0pt;margin-top:0pt;z-index:-2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17086961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131804160048</w:t>
      </w:r>
    </w:p>
    <w:p>
      <w:pPr>
        <w:pStyle w:val="Normal"/>
        <w:framePr w:w="1102" w:x="929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17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 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7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78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1782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25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 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2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40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408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40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4083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4083"/>
        <w:widowControl w:val="off"/>
        <w:autoSpaceDE w:val="off"/>
        <w:autoSpaceDN w:val="off"/>
        <w:spacing w:before="0" w:after="0" w:line="278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43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2" style="position:absolute;margin-left:43.55pt;margin-top:44.1pt;z-index:-251;width:508.3pt;height:25.9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87.1pt;z-index:-255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5.25pt;margin-top:125.6pt;z-index:-259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4.9pt;margin-top:164.85pt;z-index:-2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4.9pt;margin-top:202.4pt;z-index:-267;width:507pt;height:27.75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3.9pt;margin-top:770.35pt;z-index:-27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0pt;margin-top:0pt;z-index:-27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17086961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131804160048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544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细密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8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4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89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103" w:x="4150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97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两个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17mm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14mm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</w:p>
    <w:p>
      <w:pPr>
        <w:pStyle w:val="Normal"/>
        <w:framePr w:w="7745" w:x="4150" w:y="97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2207" w:x="4150" w:y="10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6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41mm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宽径约</w:t>
      </w:r>
      <w:r>
        <w:rPr>
          <w:rFonts w:ascii="FangSong"/>
          <w:color w:val="000000"/>
          <w:spacing w:val="0"/>
          <w:sz w:val="22"/>
        </w:rPr>
        <w:t>56mm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37mm,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745" w:x="4150" w:y="1060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腺可见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</w:p>
    <w:p>
      <w:pPr>
        <w:pStyle w:val="Normal"/>
        <w:framePr w:w="7745" w:x="4150" w:y="1060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1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6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左叶</w:t>
      </w:r>
      <w:r>
        <w:rPr>
          <w:rFonts w:ascii="FangSong" w:hAnsi="FangSong" w:cs="FangSong"/>
          <w:color w:val="000000"/>
          <w:spacing w:val="0"/>
          <w:sz w:val="22"/>
        </w:rPr>
        <w:t>中部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4mmx3mm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态规</w:t>
      </w:r>
      <w:r>
        <w:rPr>
          <w:rFonts w:ascii="FangSong" w:hAnsi="FangSong" w:cs="FangSong"/>
          <w:color w:val="000000"/>
          <w:spacing w:val="0"/>
          <w:sz w:val="22"/>
        </w:rPr>
        <w:t>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</w:t>
      </w: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清</w:t>
      </w:r>
    </w:p>
    <w:p>
      <w:pPr>
        <w:pStyle w:val="Normal"/>
        <w:framePr w:w="7745" w:x="4150" w:y="1166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7745" w:x="4150" w:y="11668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2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481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2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047" w:x="4150" w:y="128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3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叉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1.3mm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7618" w:x="4150" w:y="130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充盈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频谱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流速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9" style="position:absolute;margin-left:43.55pt;margin-top:44.1pt;z-index:-27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3.9pt;margin-top:125.85pt;z-index:-28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8.7pt;margin-top:146pt;z-index:-287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209.3pt;margin-top:146pt;z-index:-291;width:157.45pt;height:97.3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369.7pt;margin-top:146pt;z-index:-295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766.4pt;z-index:-2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0pt;margin-top:0pt;z-index:-3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17086961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131804160048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405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403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981" w:x="7747" w:y="400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</w:t>
      </w:r>
      <w:r>
        <w:rPr>
          <w:rFonts w:ascii="FangSong" w:hAnsi="FangSong" w:cs="FangSong"/>
          <w:color w:val="000000"/>
          <w:spacing w:val="0"/>
          <w:sz w:val="22"/>
        </w:rPr>
        <w:t>兰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6" style="position:absolute;margin-left:43.55pt;margin-top:44.1pt;z-index:-30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766.4pt;z-index:-3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0pt;margin-top:0pt;z-index:-3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17086961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131804160048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6078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>]   1.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6078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迂曲延长</w:t>
      </w:r>
    </w:p>
    <w:p>
      <w:pPr>
        <w:pStyle w:val="Normal"/>
        <w:framePr w:w="701" w:x="98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3301" w:x="2066" w:y="87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迂曲延长</w:t>
      </w:r>
    </w:p>
    <w:p>
      <w:pPr>
        <w:pStyle w:val="Normal"/>
        <w:framePr w:w="1434" w:x="1975" w:y="100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99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9" style="position:absolute;margin-left:43.55pt;margin-top:44.1pt;z-index:-31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3.9pt;margin-top:125.85pt;z-index:-32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189.7pt;margin-top:146pt;z-index:-327;width:232.55pt;height:208.9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3.9pt;margin-top:766.4pt;z-index:-3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0pt;margin-top:0pt;z-index:-3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17086961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131804160048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4" style="position:absolute;margin-left:24pt;margin-top:54.15pt;z-index:-339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23.65pt;margin-top:28.95pt;z-index:-343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29.3pt;margin-top:102.05pt;z-index:-347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15.5pt;margin-top:525.05pt;z-index:-351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0pt;margin-top:0pt;z-index:-3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17086961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131804160048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9" style="position:absolute;margin-left:29.3pt;margin-top:29.95pt;z-index:-359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32.15pt;margin-top:77.25pt;z-index:-363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17086961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131804160048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：李洪军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49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131804160048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9.74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42.9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499" w:x="6398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4167"/>
        <w:widowControl w:val="off"/>
        <w:autoSpaceDE w:val="off"/>
        <w:autoSpaceDN w:val="off"/>
        <w:spacing w:before="0" w:after="0" w:line="60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0.48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49.5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4.82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2.5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0.24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159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0.456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13.2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95.2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349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33.2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217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601" w:x="5150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9.3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9.8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1.014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1" style="position:absolute;margin-left:45.7pt;margin-top:29.95pt;z-index:-36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3.9pt;margin-top:137.35pt;z-index:-37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2.7pt;margin-top:160.75pt;z-index:-37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4.3pt;margin-top:174.45pt;z-index:-379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3.9pt;margin-top:776.6pt;z-index:-38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0pt;margin-top:0pt;z-index:-3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17086961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131804160048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：李洪军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49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131804160048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5.8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0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</w:t>
      </w:r>
    </w:p>
    <w:p>
      <w:pPr>
        <w:pStyle w:val="Normal"/>
        <w:framePr w:w="601" w:x="7363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</w:t>
      </w:r>
    </w:p>
    <w:p>
      <w:pPr>
        <w:pStyle w:val="Normal"/>
        <w:framePr w:w="601" w:x="7363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2.27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59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421.9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7.03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1.62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5.12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0.94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3.68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59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499" w:x="6398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97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9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1.26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702" w:x="515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5.71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15.24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1.61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601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15.42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0.688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24.95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0.242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0.35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2.99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3.47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1808" w:x="6281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7" style="position:absolute;margin-left:45.7pt;margin-top:29.95pt;z-index:-39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3.9pt;margin-top:137.35pt;z-index:-395;width:533.4pt;height:109.95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2.7pt;margin-top:282.3pt;z-index:-39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4.3pt;margin-top:296pt;z-index:-403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2.7pt;margin-top:516.8pt;z-index:-40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44.3pt;margin-top:530.5pt;z-index:-411;width:533.05pt;height:201.05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43.9pt;margin-top:776.6pt;z-index:-41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0pt;margin-top:0pt;z-index:-4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UHUQMI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a6eb7ce9-0000-0000-0000-000000000000}"/>
  </w:font>
  <w:font w:name="DGQUCV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202f8d9a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VVGCAS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d1db1bee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styles" Target="styles.xml" /><Relationship Id="rId107" Type="http://schemas.openxmlformats.org/officeDocument/2006/relationships/fontTable" Target="fontTable.xml" /><Relationship Id="rId108" Type="http://schemas.openxmlformats.org/officeDocument/2006/relationships/settings" Target="settings.xml" /><Relationship Id="rId109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14</Pages>
  <Words>2957</Words>
  <Characters>6099</Characters>
  <Application>Aspose</Application>
  <DocSecurity>0</DocSecurity>
  <Lines>809</Lines>
  <Paragraphs>809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6484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2019-12-19T17:28:14+08:00</dcterms:created>
  <dcterms:modified xmlns:xsi="http://www.w3.org/2001/XMLSchema-instance" xmlns:dcterms="http://purl.org/dc/terms/" xsi:type="dcterms:W3CDTF">2019-12-19T17:28:14+08:00</dcterms:modified>
</coreProperties>
</file>