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18"/>
        </w:rPr>
      </w:pPr>
      <w:r>
        <w:rPr>
          <w:rFonts w:ascii="DUSGDC+MicrosoftYaHei" w:hAnsi="DUSGDC+MicrosoftYaHei" w:cs="DUSGDC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MPGM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体检日期</w:t>
      </w:r>
      <w:r>
        <w:rPr>
          <w:rFonts w:ascii="PHMPGM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姓名</w:t>
      </w:r>
      <w:r>
        <w:rPr>
          <w:rFonts w:ascii="PHMPGM+MicrosoftYaHei"/>
          <w:color w:val="000000"/>
          <w:spacing w:val="0"/>
          <w:sz w:val="22"/>
        </w:rPr>
        <w:t xml:space="preserve">:  </w:t>
      </w:r>
      <w:r>
        <w:rPr>
          <w:rFonts w:ascii="DUSGDC+MicrosoftYaHei" w:hAnsi="DUSGDC+MicrosoftYaHei" w:cs="DUSGDC+MicrosoftYaHei"/>
          <w:color w:val="000000"/>
          <w:spacing w:val="0"/>
          <w:sz w:val="22"/>
        </w:rPr>
        <w:t>冯江晖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MPGM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卡号</w:t>
      </w:r>
      <w:r>
        <w:rPr>
          <w:rFonts w:ascii="PHMPGM+MicrosoftYaHei"/>
          <w:color w:val="000000"/>
          <w:spacing w:val="0"/>
          <w:sz w:val="22"/>
        </w:rPr>
        <w:t xml:space="preserve">:  </w:t>
      </w:r>
      <w:r>
        <w:rPr>
          <w:rFonts w:ascii="PHMPGM+MicrosoftYaHei"/>
          <w:color w:val="000000"/>
          <w:spacing w:val="0"/>
          <w:sz w:val="22"/>
        </w:rPr>
        <w:t>16107788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性别</w:t>
      </w:r>
      <w:r>
        <w:rPr>
          <w:rFonts w:ascii="PHMPGM+MicrosoftYaHei"/>
          <w:color w:val="000000"/>
          <w:spacing w:val="0"/>
          <w:sz w:val="22"/>
        </w:rPr>
        <w:t xml:space="preserve">: </w:t>
      </w:r>
      <w:r>
        <w:rPr>
          <w:rFonts w:ascii="DUSGDC+MicrosoftYaHei" w:hAnsi="DUSGDC+MicrosoftYaHei" w:cs="DUSGDC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单位</w:t>
      </w:r>
      <w:r>
        <w:rPr>
          <w:rFonts w:ascii="PHMPGM+MicrosoftYaHei"/>
          <w:color w:val="000000"/>
          <w:spacing w:val="0"/>
          <w:sz w:val="22"/>
        </w:rPr>
        <w:t xml:space="preserve">:  </w:t>
      </w:r>
      <w:r>
        <w:rPr>
          <w:rFonts w:ascii="DUSGDC+MicrosoftYaHei" w:hAnsi="DUSGDC+MicrosoftYaHei" w:cs="DUSGDC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HMPGM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部门</w:t>
      </w:r>
      <w:r>
        <w:rPr>
          <w:rFonts w:ascii="PHMPGM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MPGM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联系方式</w:t>
      </w:r>
      <w:r>
        <w:rPr>
          <w:rFonts w:ascii="PHMPGM+MicrosoftYaHei"/>
          <w:color w:val="000000"/>
          <w:spacing w:val="0"/>
          <w:sz w:val="22"/>
        </w:rPr>
        <w:t>:  135****9592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HMPGM+MicrosoftYaHei"/>
          <w:color w:val="000000"/>
          <w:spacing w:val="0"/>
          <w:sz w:val="22"/>
        </w:rPr>
      </w:pPr>
      <w:r>
        <w:rPr>
          <w:rFonts w:ascii="DUSGDC+MicrosoftYaHei" w:hAnsi="DUSGDC+MicrosoftYaHei" w:cs="DUSGDC+MicrosoftYaHei"/>
          <w:color w:val="000000"/>
          <w:spacing w:val="0"/>
          <w:sz w:val="22"/>
        </w:rPr>
        <w:t>身份证号</w:t>
      </w:r>
      <w:r>
        <w:rPr>
          <w:rFonts w:ascii="PHMPGM+MicrosoftYaHei"/>
          <w:color w:val="000000"/>
          <w:spacing w:val="0"/>
          <w:sz w:val="22"/>
        </w:rPr>
        <w:t>: 623001********1047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28"/>
        </w:rPr>
      </w:pPr>
      <w:r>
        <w:rPr>
          <w:rFonts w:ascii="DUSGDC+MicrosoftYaHei" w:hAnsi="DUSGDC+MicrosoftYaHei" w:cs="DUSGDC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DUSGDC+MicrosoftYaHei" w:hAnsi="DUSGDC+MicrosoftYaHei" w:cs="DUSGDC+MicrosoftYaHei"/>
          <w:color w:val="000000"/>
          <w:spacing w:val="0"/>
          <w:sz w:val="28"/>
        </w:rPr>
      </w:pPr>
      <w:r>
        <w:rPr>
          <w:rFonts w:ascii="DUSGDC+MicrosoftYaHei" w:hAnsi="DUSGDC+MicrosoftYaHei" w:cs="DUSGDC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尊敬的冯江晖女士：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IFCHT+Wingdings-Regular" w:hAnsi="LIFCHT+Wingdings-Regular" w:cs="LIFCHT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LIFCHT+Wingdings-Regular" w:hAnsi="LIFCHT+Wingdings-Regular" w:cs="LIFCHT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LIFCHT+Wingdings-Regular" w:hAnsi="LIFCHT+Wingdings-Regular" w:cs="LIFCHT+Wingdings-Regular"/>
          <w:color w:val="000000"/>
          <w:spacing w:val="0"/>
          <w:sz w:val="23"/>
        </w:rPr>
      </w:pPr>
      <w:r>
        <w:rPr>
          <w:rFonts w:ascii="LIFCHT+Wingdings-Regular" w:hAnsi="LIFCHT+Wingdings-Regular" w:cs="LIFCHT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冯江晖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739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(3.06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(7.58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(4.43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348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胎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(101.51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殖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胚胎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妊娠等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查，结</w:t>
      </w:r>
    </w:p>
    <w:p>
      <w:pPr>
        <w:pStyle w:val="Normal"/>
        <w:framePr w:w="10411" w:x="1440" w:y="47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健康体检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做出判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，建议：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如首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观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 xml:space="preserve">(3.41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胃炎胃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致铁吸收障碍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髓造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66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妊娠等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110" w:x="1190" w:y="7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丙氨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氨基转移酶轻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(52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肌肉损伤甚至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标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等；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各种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包括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毒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、重</w:t>
      </w:r>
      <w:r>
        <w:rPr>
          <w:rFonts w:ascii="FangSong" w:hAnsi="FangSong" w:cs="FangSong"/>
          <w:color w:val="000000"/>
          <w:spacing w:val="0"/>
          <w:sz w:val="22"/>
        </w:rPr>
        <w:t>金属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毒等使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细胞轻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/>
          <w:color w:val="000000"/>
          <w:spacing w:val="0"/>
          <w:sz w:val="22"/>
        </w:rPr>
        <w:t>3.</w:t>
      </w:r>
    </w:p>
    <w:p>
      <w:pPr>
        <w:pStyle w:val="Normal"/>
        <w:framePr w:w="10411" w:x="1440" w:y="76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及其它</w:t>
      </w:r>
      <w:r>
        <w:rPr>
          <w:rFonts w:ascii="FangSong" w:hAnsi="FangSong" w:cs="FangSong"/>
          <w:color w:val="000000"/>
          <w:spacing w:val="0"/>
          <w:sz w:val="22"/>
        </w:rPr>
        <w:t>器官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临床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86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856" w:x="1190" w:y="90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细胞增多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增多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964" w:x="144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/>
          <w:color w:val="000000"/>
          <w:spacing w:val="0"/>
          <w:sz w:val="22"/>
        </w:rPr>
        <w:t>(3+ 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/>
          <w:color w:val="000000"/>
          <w:spacing w:val="0"/>
          <w:sz w:val="22"/>
        </w:rPr>
        <w:t>(8-10 /HPF)</w:t>
      </w:r>
    </w:p>
    <w:p>
      <w:pPr>
        <w:pStyle w:val="Normal"/>
        <w:framePr w:w="10411" w:x="1440" w:y="96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液被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</w:p>
    <w:p>
      <w:pPr>
        <w:pStyle w:val="Normal"/>
        <w:framePr w:w="10411" w:x="1440" w:y="967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967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6250" w:x="1190" w:y="106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(6.32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09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20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20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7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26.8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26.8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171.5cm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58.4Kg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500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500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19.86,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113mmHg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63mmHg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671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701" w:x="914" w:y="75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104" w:x="914" w:y="79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1810" w:x="9480" w:y="83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882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882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13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4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94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4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4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0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0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02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02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右眼矫正视</w:t>
      </w:r>
    </w:p>
    <w:p>
      <w:pPr>
        <w:pStyle w:val="Normal"/>
        <w:framePr w:w="1306" w:x="914" w:y="105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0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左眼矫正视</w:t>
      </w:r>
    </w:p>
    <w:p>
      <w:pPr>
        <w:pStyle w:val="Normal"/>
        <w:framePr w:w="1306" w:x="914" w:y="110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6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62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0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4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9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29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5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38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</w:t>
      </w:r>
      <w:r>
        <w:rPr>
          <w:rFonts w:ascii="FangSong" w:hAnsi="FangSong" w:cs="FangSong"/>
          <w:color w:val="000000"/>
          <w:spacing w:val="0"/>
          <w:sz w:val="20"/>
        </w:rPr>
        <w:t>宇</w:t>
      </w:r>
    </w:p>
    <w:p>
      <w:pPr>
        <w:pStyle w:val="Normal"/>
        <w:framePr w:w="1104" w:x="1450" w:y="143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02" w:x="929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64.3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35.1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2.5pt;z-index:-175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713.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750.9pt;z-index:-183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</w:t>
      </w:r>
      <w:r>
        <w:rPr>
          <w:rFonts w:ascii="FangSong" w:hAnsi="FangSong" w:cs="FangSong"/>
          <w:color w:val="000000"/>
          <w:spacing w:val="0"/>
          <w:sz w:val="20"/>
        </w:rPr>
        <w:t>莲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306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3.9pt;margin-top:770.35pt;z-index:-1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0pt;margin-top:0pt;z-index:-2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3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92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48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03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/>
          <w:color w:val="000000"/>
          <w:spacing w:val="0"/>
          <w:sz w:val="22"/>
        </w:rPr>
        <w:t>A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6mmx5mm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双侧腋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及异</w:t>
      </w:r>
    </w:p>
    <w:p>
      <w:pPr>
        <w:pStyle w:val="Normal"/>
        <w:framePr w:w="7745" w:x="4150" w:y="1084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16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16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9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21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01" w:x="986" w:y="129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7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213" w:x="2066" w:y="133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145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14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1" style="position:absolute;margin-left:43.55pt;margin-top:44.1pt;z-index:-2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125.85pt;z-index:-2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189.7pt;margin-top:146pt;z-index:-215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3.9pt;margin-top:766.4pt;z-index:-2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0pt;margin-top:0pt;z-index:-2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24pt;margin-top:54.15pt;z-index:-2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23.65pt;margin-top:28.95pt;z-index:-2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29.3pt;margin-top:102.05pt;z-index:-2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15.5pt;margin-top:525.05pt;z-index:-2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：冯江晖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8.93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70.8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3+</w:t>
      </w:r>
    </w:p>
    <w:p>
      <w:pPr>
        <w:pStyle w:val="Normal"/>
        <w:framePr w:w="500" w:x="5150" w:y="1356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702" w:x="515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8-10</w:t>
      </w:r>
    </w:p>
    <w:p>
      <w:pPr>
        <w:pStyle w:val="Normal"/>
        <w:framePr w:w="702" w:x="5150" w:y="1478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2+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075" w:x="9965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5.7pt;margin-top:29.95pt;z-index:-2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37.3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2.7pt;margin-top:160.75pt;z-index:-2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3pt;margin-top:174.45pt;z-index:-2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6.6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16107788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：冯江晖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36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天门冬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499" w:x="6398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161.4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702" w:x="515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4.43</w:t>
      </w:r>
    </w:p>
    <w:p>
      <w:pPr>
        <w:pStyle w:val="Normal"/>
        <w:framePr w:w="702" w:x="515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1605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13.32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15.9</w:t>
      </w:r>
    </w:p>
    <w:p>
      <w:pPr>
        <w:pStyle w:val="Normal"/>
        <w:framePr w:w="702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10.14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0.54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101.51</w:t>
      </w:r>
    </w:p>
    <w:p>
      <w:pPr>
        <w:pStyle w:val="Normal"/>
        <w:framePr w:w="904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8.41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9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7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/10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67" style="position:absolute;margin-left:45.7pt;margin-top:29.95pt;z-index:-2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37.35pt;z-index:-2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2.7pt;margin-top:312.7pt;z-index:-2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3pt;margin-top:326.35pt;z-index:-2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2.7pt;margin-top:547.15pt;z-index:-2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3pt;margin-top:560.85pt;z-index:-291;width:533.05pt;height:170.7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76.6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USGDC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b49f3cd-0000-0000-0000-000000000000}"/>
  </w:font>
  <w:font w:name="PHMPGM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6368451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IFCHT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ef7f10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styles" Target="styles.xml" /><Relationship Id="rId77" Type="http://schemas.openxmlformats.org/officeDocument/2006/relationships/fontTable" Target="fontTable.xml" /><Relationship Id="rId78" Type="http://schemas.openxmlformats.org/officeDocument/2006/relationships/settings" Target="settings.xml" /><Relationship Id="rId79" Type="http://schemas.openxmlformats.org/officeDocument/2006/relationships/webSettings" Target="webSettings.xml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10</Pages>
  <Words>2049</Words>
  <Characters>4625</Characters>
  <Application>Aspose</Application>
  <DocSecurity>0</DocSecurity>
  <Lines>636</Lines>
  <Paragraphs>636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4986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2019-12-19T17:29:55+08:00</dcterms:created>
  <dcterms:modified xmlns:xsi="http://www.w3.org/2001/XMLSchema-instance" xmlns:dcterms="http://purl.org/dc/terms/" xsi:type="dcterms:W3CDTF">2019-12-19T17:29:55+08:00</dcterms:modified>
</coreProperties>
</file>