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56DB"/>
          <w:sz w:val="52"/>
        </w:rPr>
        <w:t>智慧路灯管理系统</w:t>
        <w:br/>
        <w:t>移动端接口文档</w:t>
      </w:r>
    </w:p>
    <w:p>
      <w:pPr>
        <w:jc w:val="center"/>
      </w:pPr>
      <w:r>
        <w:rPr>
          <w:color w:val="666666"/>
          <w:sz w:val="28"/>
        </w:rPr>
        <w:br/>
        <w:t>第一阶段：数字孪生 / 数据报表 / 设备管理 / 智能助手</w:t>
      </w:r>
    </w:p>
    <w:p/>
    <w:p/>
    <w:p>
      <w:pPr>
        <w:pStyle w:val="Heading1"/>
      </w:pPr>
      <w:r>
        <w:rPr>
          <w:color w:val="1A56DB"/>
        </w:rPr>
        <w:t>一、通用说明</w:t>
      </w:r>
    </w:p>
    <w:p>
      <w:pPr>
        <w:pStyle w:val="Heading2"/>
      </w:pPr>
      <w:r>
        <w:rPr>
          <w:color w:val="1A56DB"/>
        </w:rPr>
        <w:t>1.1 接口地址</w:t>
      </w:r>
    </w:p>
    <w:p>
      <w:r>
        <w:t>当前阶段通过 natapp 隧道访问。地址见《移动端开发参考.md》，本文档中所有接口路径使用占位符表示：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{{BASE_URL}}</w:t>
      </w:r>
    </w:p>
    <w:p>
      <w:r>
        <w:t>移动端开发时，将 {{BASE_URL}} 替换为实际地址即可（如 http://47.96.27.141:8080），只需改一处全局常量。</w:t>
      </w:r>
    </w:p>
    <w:p>
      <w:pPr>
        <w:pStyle w:val="Heading2"/>
      </w:pPr>
      <w:r>
        <w:rPr>
          <w:color w:val="1A56DB"/>
        </w:rPr>
        <w:t>1.2 统一响应格式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 "code": 200, "msg": "success", "data": { ... } 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code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成功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参数错误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未登录 / Token过期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无权限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资源不存在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数据冲突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服务器错误</w:t>
            </w:r>
          </w:p>
        </w:tc>
      </w:tr>
    </w:tbl>
    <w:p/>
    <w:p>
      <w:pPr>
        <w:pStyle w:val="Heading2"/>
      </w:pPr>
      <w:r>
        <w:rPr>
          <w:color w:val="1A56DB"/>
        </w:rPr>
        <w:t>1.3 认证方式</w:t>
      </w:r>
    </w:p>
    <w:p>
      <w:r>
        <w:t>除登录接口外，所有业务接口需在请求头携带 JWT Token：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Authorization: Bearer &lt;token&gt;</w:t>
      </w:r>
    </w:p>
    <w:p>
      <w:r>
        <w:t>Token 通过登录接口获取，有效期 24 小时，过期后需重新登录。</w:t>
      </w:r>
    </w:p>
    <w:p>
      <w:pPr>
        <w:pStyle w:val="Heading2"/>
      </w:pPr>
      <w:r>
        <w:rPr>
          <w:color w:val="1A56DB"/>
        </w:rPr>
        <w:t>1.4 分页规范</w:t>
      </w:r>
    </w:p>
    <w:p>
      <w:r>
        <w:t>POST 分页请求体：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 "page": 1, "size": 20, "...查询条件": "" }</w:t>
      </w:r>
    </w:p>
    <w:p>
      <w:r>
        <w:t>GET 分页 URL：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?pageNum=1&amp;pageSize=20&amp;keyword=xxx</w:t>
      </w:r>
    </w:p>
    <w:p>
      <w:r>
        <w:t>分页响应：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 "records": [...], "total": 100, "size": 20, "current": 1, "pages": 5 }</w:t>
      </w:r>
    </w:p>
    <w:p>
      <w:pPr>
        <w:pStyle w:val="Heading1"/>
      </w:pPr>
      <w:r>
        <w:rPr>
          <w:color w:val="1A56DB"/>
        </w:rPr>
        <w:t>二、认证模块</w:t>
      </w:r>
    </w:p>
    <w:p>
      <w:r>
        <w:t>对应原型图：loginscreen.png</w:t>
      </w:r>
    </w:p>
    <w:p>
      <w:r>
        <w:drawing>
          <wp:inline xmlns:a="http://schemas.openxmlformats.org/drawingml/2006/main" xmlns:pic="http://schemas.openxmlformats.org/drawingml/2006/picture">
            <wp:extent cx="2743200" cy="62168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scre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2168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1A56DB"/>
        </w:rPr>
        <w:t>2.1 登录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POST {{BASE_URL}}/api/auth/login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 "username": "admin", "password": "admin123" }</w:t>
      </w:r>
    </w:p>
    <w:p>
      <w:r>
        <w:t>响应 data 字段：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JWT Token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用户名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roleCode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角色编码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permissions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String[]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权限码列表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menus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Array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可见菜单树</w:t>
            </w:r>
          </w:p>
        </w:tc>
      </w:tr>
    </w:tbl>
    <w:p/>
    <w:p>
      <w:r>
        <w:t>测试账号：admin / admin123（SUPER_ADMIN）</w:t>
      </w:r>
    </w:p>
    <w:p>
      <w:pPr>
        <w:pStyle w:val="Heading2"/>
      </w:pPr>
      <w:r>
        <w:rPr>
          <w:color w:val="1A56DB"/>
        </w:rPr>
        <w:t>2.2 校验 Token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GET {{BASE_URL}}/api/auth/me</w:t>
      </w:r>
    </w:p>
    <w:p>
      <w:r>
        <w:t>App 启动时调用，校验 Token 是否有效。返回结构与登录接口相同。</w:t>
      </w:r>
    </w:p>
    <w:p>
      <w:pPr>
        <w:pStyle w:val="Heading1"/>
      </w:pPr>
      <w:r>
        <w:rPr>
          <w:color w:val="1A56DB"/>
        </w:rPr>
        <w:t>三、设备管理模块</w:t>
      </w:r>
    </w:p>
    <w:p>
      <w:r>
        <w:t>对应原型图：devicedetailscreen.png</w:t>
      </w:r>
    </w:p>
    <w:p>
      <w:r>
        <w:drawing>
          <wp:inline xmlns:a="http://schemas.openxmlformats.org/drawingml/2006/main" xmlns:pic="http://schemas.openxmlformats.org/drawingml/2006/picture">
            <wp:extent cx="5029200" cy="113976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icedetailscre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3976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1A56DB"/>
        </w:rPr>
        <w:t>3.1 设备列表（POST，推荐）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POST {{BASE_URL}}/api/devices/list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页码，默认1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每页条数，默认20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deviceId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设备编号（精确）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名称（模糊）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area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区域名称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areaId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区域ID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0停用/1在线/2离线/3异常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是否启用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healthScoreMin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BigDecimal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健康分下限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healthScoreMax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BigDecimal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健康分上限</w:t>
            </w:r>
          </w:p>
        </w:tc>
      </w:tr>
    </w:tbl>
    <w:p/>
    <w:p>
      <w:r>
        <w:t>响应 records 主要字段：deviceId, name, area, areaId, location, status, healthScore, lastHeartbeatAt, latestData, firmwareVersion, enabled</w:t>
      </w:r>
    </w:p>
    <w:p>
      <w:pPr>
        <w:pStyle w:val="Heading2"/>
      </w:pPr>
      <w:r>
        <w:rPr>
          <w:color w:val="1A56DB"/>
        </w:rPr>
        <w:t>3.2 设备列表（GET）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GET {{BASE_URL}}/api/devices/page?pageNum=1&amp;pageSize=20&amp;keyword=xxx&amp;area=A区&amp;status=1</w:t>
      </w:r>
    </w:p>
    <w:p>
      <w:pPr>
        <w:pStyle w:val="Heading2"/>
      </w:pPr>
      <w:r>
        <w:rPr>
          <w:color w:val="1A56DB"/>
        </w:rPr>
        <w:t>3.3 设备详情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GET {{BASE_URL}}/api/devices/{deviceId}</w:t>
      </w:r>
    </w:p>
    <w:p>
      <w:pPr>
        <w:pStyle w:val="Heading2"/>
      </w:pPr>
      <w:r>
        <w:rPr>
          <w:color w:val="1A56DB"/>
        </w:rPr>
        <w:t>3.4 新增设备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POST {{BASE_URL}}/api/devices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{"deviceId":"SL-008","name":"学院路8号灯杆","area":"学院路","areaId":3,"location":"29.5647,106.5478","status":1,"enabled":true}</w:t>
      </w:r>
    </w:p>
    <w:p>
      <w:pPr>
        <w:pStyle w:val="Heading2"/>
      </w:pPr>
      <w:r>
        <w:rPr>
          <w:color w:val="1A56DB"/>
        </w:rPr>
        <w:t>3.5 编辑设备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PUT {{BASE_URL}}/api/devices/{deviceId}</w:t>
      </w:r>
    </w:p>
    <w:p>
      <w:pPr>
        <w:pStyle w:val="Heading2"/>
      </w:pPr>
      <w:r>
        <w:rPr>
          <w:color w:val="1A56DB"/>
        </w:rPr>
        <w:t>3.6 删除设备（软删除）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DELETE {{BASE_URL}}/api/devices/{deviceId}</w:t>
      </w:r>
    </w:p>
    <w:p>
      <w:pPr>
        <w:pStyle w:val="Heading2"/>
      </w:pPr>
      <w:r>
        <w:rPr>
          <w:color w:val="1A56DB"/>
        </w:rPr>
        <w:t>3.7 批量新增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POST {{BASE_URL}}/api/devices/batch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[{"deviceId":"SL-009","name":"设备9","area":"A区","status":1}, ...]</w:t>
      </w:r>
    </w:p>
    <w:p>
      <w:pPr>
        <w:pStyle w:val="Heading2"/>
      </w:pPr>
      <w:r>
        <w:rPr>
          <w:color w:val="1A56DB"/>
        </w:rPr>
        <w:t>3.8 批量分配区域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PUT {{BASE_URL}}/api/devices/batch-area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{"deviceIds":[1,2,3],"areaId":5}</w:t>
      </w:r>
    </w:p>
    <w:p>
      <w:pPr>
        <w:pStyle w:val="Heading1"/>
      </w:pPr>
      <w:r>
        <w:rPr>
          <w:color w:val="1A56DB"/>
        </w:rPr>
        <w:t>四、设备健康评分</w:t>
      </w:r>
    </w:p>
    <w:p>
      <w:pPr>
        <w:pStyle w:val="Heading2"/>
      </w:pPr>
      <w:r>
        <w:rPr>
          <w:color w:val="1A56DB"/>
        </w:rPr>
        <w:t>4.1 健康评分详情（实时计算）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GET {{BASE_URL}}/api/devices/{deviceId}/health</w:t>
      </w:r>
    </w:p>
    <w:p>
      <w:r>
        <w:t>响应：overallScore(0-100)、level(优秀/良好/一般/较差/危险)、levelColor、dimensions(四个维度: 离线频次30%/通信质量25%/指令响应率25%/传感器状态20%)、suggestion</w:t>
      </w:r>
    </w:p>
    <w:p>
      <w:pPr>
        <w:pStyle w:val="Heading2"/>
      </w:pPr>
      <w:r>
        <w:rPr>
          <w:color w:val="1A56DB"/>
        </w:rPr>
        <w:t>4.2 全局健康概览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GET {{BASE_URL}}/api/devices/health/summary</w:t>
      </w:r>
    </w:p>
    <w:p>
      <w:r>
        <w:t>响应：totalDevices、healthyCount、warningCount、criticalCount、averageScore、list</w:t>
      </w:r>
    </w:p>
    <w:p>
      <w:pPr>
        <w:pStyle w:val="Heading1"/>
      </w:pPr>
      <w:r>
        <w:rPr>
          <w:color w:val="1A56DB"/>
        </w:rPr>
        <w:t>五、设备遥测数据</w:t>
      </w:r>
    </w:p>
    <w:p>
      <w:pPr>
        <w:pStyle w:val="Heading2"/>
      </w:pPr>
      <w:r>
        <w:rPr>
          <w:color w:val="1A56DB"/>
        </w:rPr>
        <w:t>5.1 最新遥测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GET {{BASE_URL}}/api/telemetry/latest/{deviceId}</w:t>
      </w:r>
    </w:p>
    <w:p>
      <w:r>
        <w:t>响应 data 对象：illuminance(lux)、temperature(°C)、humidity(%)、pm25、aqi、pir(0无人/1有人)、traffic</w:t>
      </w:r>
    </w:p>
    <w:p>
      <w:pPr>
        <w:pStyle w:val="Heading2"/>
      </w:pPr>
      <w:r>
        <w:rPr>
          <w:color w:val="1A56DB"/>
        </w:rPr>
        <w:t>5.2 遥测历史（分页）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POST {{BASE_URL}}/api/telemetry/history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{"deviceId":"SL-001","collectedAtFrom":"2026-07-06T00:00:00","collectedAtTo":"2026-07-06T23:59:59","page":1,"size":50}</w:t>
      </w:r>
    </w:p>
    <w:p>
      <w:pPr>
        <w:pStyle w:val="Heading1"/>
      </w:pPr>
      <w:r>
        <w:rPr>
          <w:color w:val="1A56DB"/>
        </w:rPr>
        <w:t>六、设备控制模块</w:t>
      </w:r>
    </w:p>
    <w:p>
      <w:r>
        <w:t>对应原型图：manualcontrolscreen.png、controllogscreen.png</w:t>
      </w:r>
    </w:p>
    <w:p>
      <w:r>
        <w:drawing>
          <wp:inline xmlns:a="http://schemas.openxmlformats.org/drawingml/2006/main" xmlns:pic="http://schemas.openxmlformats.org/drawingml/2006/picture">
            <wp:extent cx="5029200" cy="113976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controlscre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3976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029200" cy="118723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logscre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87235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1A56DB"/>
        </w:rPr>
        <w:t>6.1 下发控制指令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POST {{BASE_URL}}/api/devices/{deviceId}/control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brightness 是否必填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开灯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关灯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DIMMING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调光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是（0-100）</w:t>
            </w:r>
          </w:p>
        </w:tc>
      </w:tr>
    </w:tbl>
    <w:p/>
    <w:p>
      <w:r>
        <w:t>手动锁定机制：手动控制后 AI 策略引擎 30 分钟内跳过该设备，避免自动覆盖。</w:t>
      </w:r>
    </w:p>
    <w:p>
      <w:pPr>
        <w:pStyle w:val="Heading2"/>
      </w:pPr>
      <w:r>
        <w:rPr>
          <w:color w:val="1A56DB"/>
        </w:rPr>
        <w:t>6.2 解除手动锁定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DELETE {{BASE_URL}}/api/devices/{deviceId}/manual-lock</w:t>
      </w:r>
    </w:p>
    <w:p>
      <w:pPr>
        <w:pStyle w:val="Heading2"/>
      </w:pPr>
      <w:r>
        <w:rPr>
          <w:color w:val="1A56DB"/>
        </w:rPr>
        <w:t>6.3 控制历史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GET {{BASE_URL}}/api/devices/{deviceId}/control-history?page=1&amp;size=10</w:t>
      </w:r>
    </w:p>
    <w:p>
      <w:r>
        <w:t>响应字段：action(ON/OFF/DIMMING(80))、brightness、source(MANUAL/AUTO)、operator、status(SENT/SUCCESS/FAILED)、issuedAt、ackAt、resultDetail</w:t>
      </w:r>
    </w:p>
    <w:p>
      <w:pPr>
        <w:pStyle w:val="Heading1"/>
      </w:pPr>
      <w:r>
        <w:rPr>
          <w:color w:val="1A56DB"/>
        </w:rPr>
        <w:t>七、数字孪生（仪表盘）模块</w:t>
      </w:r>
    </w:p>
    <w:p>
      <w:r>
        <w:t>对应原型图：mapscreen.png</w:t>
      </w:r>
    </w:p>
    <w:p>
      <w:r>
        <w:drawing>
          <wp:inline xmlns:a="http://schemas.openxmlformats.org/drawingml/2006/main" xmlns:pic="http://schemas.openxmlformats.org/drawingml/2006/picture">
            <wp:extent cx="5029200" cy="113976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scre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3976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1A56DB"/>
        </w:rPr>
        <w:t>7.1 统计概览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GET {{BASE_URL}}/api/dashboard/stats</w:t>
      </w:r>
    </w:p>
    <w:p>
      <w:r>
        <w:t>响应：totalDevices、onlineDevices、onlineRate、alertCount、energySavingRate、todayEnergy</w:t>
      </w:r>
    </w:p>
    <w:p>
      <w:pPr>
        <w:pStyle w:val="Heading2"/>
      </w:pPr>
      <w:r>
        <w:rPr>
          <w:color w:val="1A56DB"/>
        </w:rPr>
        <w:t>7.2 能耗趋势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GET {{BASE_URL}}/api/dashboard/energy-trend</w:t>
      </w:r>
    </w:p>
    <w:p>
      <w:r>
        <w:t>响应：labels(24小时)、current(今日各时段kWh)、lastWeek(上周同期)</w:t>
      </w:r>
    </w:p>
    <w:p>
      <w:pPr>
        <w:pStyle w:val="Heading2"/>
      </w:pPr>
      <w:r>
        <w:rPr>
          <w:color w:val="1A56DB"/>
        </w:rPr>
        <w:t>7.3 分区设备状态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GET {{BASE_URL}}/api/dashboard/districts</w:t>
      </w:r>
    </w:p>
    <w:p>
      <w:r>
        <w:t>响应数组：name、online、offline、warning、disabled</w:t>
      </w:r>
    </w:p>
    <w:p>
      <w:pPr>
        <w:pStyle w:val="Heading2"/>
      </w:pPr>
      <w:r>
        <w:rPr>
          <w:color w:val="1A56DB"/>
        </w:rPr>
        <w:t>7.4 边缘AI决策状态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GET {{BASE_URL}}/api/dashboard/edge-status</w:t>
      </w:r>
    </w:p>
    <w:p>
      <w:r>
        <w:t>响应：totalDecisions、hitCount、lastSimulatedAt、enabled</w:t>
      </w:r>
    </w:p>
    <w:p>
      <w:pPr>
        <w:pStyle w:val="Heading2"/>
      </w:pPr>
      <w:r>
        <w:rPr>
          <w:color w:val="1A56DB"/>
        </w:rPr>
        <w:t>7.5 边缘AI最近决策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GET {{BASE_URL}}/api/dashboard/edge/recent</w:t>
      </w:r>
    </w:p>
    <w:p>
      <w:pPr>
        <w:pStyle w:val="Heading2"/>
      </w:pPr>
      <w:r>
        <w:rPr>
          <w:color w:val="1A56DB"/>
        </w:rPr>
        <w:t>7.6 手动触发边缘模拟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POST {{BASE_URL}}/api/dashboard/edge/trigger</w:t>
      </w:r>
    </w:p>
    <w:p>
      <w:pPr>
        <w:pStyle w:val="Heading1"/>
      </w:pPr>
      <w:r>
        <w:rPr>
          <w:color w:val="1A56DB"/>
        </w:rPr>
        <w:t>八、数据报表模块</w:t>
      </w:r>
    </w:p>
    <w:p>
      <w:r>
        <w:t>对应原型图：energyanalysisscreen.png</w:t>
      </w:r>
    </w:p>
    <w:p>
      <w:r>
        <w:drawing>
          <wp:inline xmlns:a="http://schemas.openxmlformats.org/drawingml/2006/main" xmlns:pic="http://schemas.openxmlformats.org/drawingml/2006/picture">
            <wp:extent cx="5029200" cy="113976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ergyanalysisscree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3976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1A56DB"/>
        </w:rPr>
        <w:t>8.1 年度能耗统计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GET {{BASE_URL}}/api/dashboard/energy/yearly-stats?year=2026</w:t>
      </w:r>
    </w:p>
    <w:p>
      <w:r>
        <w:t>响应：year、totalKwh、savedKwh、carbonReductionKg(kg CO2)、avgOnlineRate、lastYear</w:t>
      </w:r>
    </w:p>
    <w:p>
      <w:pPr>
        <w:pStyle w:val="Heading2"/>
      </w:pPr>
      <w:r>
        <w:rPr>
          <w:color w:val="1A56DB"/>
        </w:rPr>
        <w:t>8.2 月度能耗（12个月）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GET {{BASE_URL}}/api/dashboard/energy/monthly?year=2026</w:t>
      </w:r>
    </w:p>
    <w:p>
      <w:r>
        <w:t>响应：months([1月...12月])、consumption[]、savings[]</w:t>
      </w:r>
    </w:p>
    <w:p>
      <w:pPr>
        <w:pStyle w:val="Heading2"/>
      </w:pPr>
      <w:r>
        <w:rPr>
          <w:color w:val="1A56DB"/>
        </w:rPr>
        <w:t>8.3 分区分区能耗占比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GET {{BASE_URL}}/api/dashboard/energy/district?year=2026</w:t>
      </w:r>
    </w:p>
    <w:p>
      <w:r>
        <w:t>响应数组：name(区域)、value(kWh)</w:t>
      </w:r>
    </w:p>
    <w:p>
      <w:pPr>
        <w:pStyle w:val="Heading1"/>
      </w:pPr>
      <w:r>
        <w:rPr>
          <w:color w:val="1A56DB"/>
        </w:rPr>
        <w:t>九、智能助手模块</w:t>
      </w:r>
    </w:p>
    <w:p>
      <w:r>
        <w:t>对应原型图：smartassistantscreen.png</w:t>
      </w:r>
    </w:p>
    <w:p>
      <w:r>
        <w:drawing>
          <wp:inline xmlns:a="http://schemas.openxmlformats.org/drawingml/2006/main" xmlns:pic="http://schemas.openxmlformats.org/drawingml/2006/picture">
            <wp:extent cx="5029200" cy="113976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rtassistantscree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3976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1A56DB"/>
        </w:rPr>
        <w:t>9.1 对话问答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POST {{BASE_URL}}/api/assistant/chat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{"message":"灯不亮怎么办"}</w:t>
      </w:r>
    </w:p>
    <w:p>
      <w:r>
        <w:t>响应 type：KNOWLEDGE_QA(知识问答) / THRESHOLD_UPDATED(参数已修改)</w:t>
      </w:r>
    </w:p>
    <w:p>
      <w:r>
        <w:t>自然语言调参示例：'把阈值调到30'、'亮度调到60%'</w:t>
      </w:r>
    </w:p>
    <w:p>
      <w:pPr>
        <w:pStyle w:val="Heading2"/>
      </w:pPr>
      <w:r>
        <w:rPr>
          <w:color w:val="1A56DB"/>
        </w:rPr>
        <w:t>9.2 一键诊断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POST {{BASE_URL}}/api/assistant/diagnose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{"deviceId":"SL-001","question":"最近频繁离线是什么原因"}</w:t>
      </w:r>
    </w:p>
    <w:p>
      <w:r>
        <w:t>AI 结合最新遥测/告警/控制历史做综合分析，返回同聊天结构。</w:t>
      </w:r>
    </w:p>
    <w:p>
      <w:pPr>
        <w:pStyle w:val="Heading1"/>
      </w:pPr>
      <w:r>
        <w:rPr>
          <w:color w:val="1A56DB"/>
        </w:rPr>
        <w:t>十、告警中心模块（配套）</w:t>
      </w:r>
    </w:p>
    <w:p>
      <w:r>
        <w:t>对应原型图：alarmcenterscreen.png</w:t>
      </w:r>
    </w:p>
    <w:p>
      <w:r>
        <w:drawing>
          <wp:inline xmlns:a="http://schemas.openxmlformats.org/drawingml/2006/main" xmlns:pic="http://schemas.openxmlformats.org/drawingml/2006/picture">
            <wp:extent cx="5029200" cy="113976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armcenterscree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3976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1A56DB"/>
        </w:rPr>
        <w:t>10.1 告警列表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POST {{BASE_URL}}/api/alarms/list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{"deviceId":"SL-001","type":"OFFLINE","level":"HIGH","status":"ACTIVE","page":1,"size":20}</w:t>
      </w:r>
    </w:p>
    <w:p>
      <w:r>
        <w:t>告警类型(OFFLINE/HIGH_TEMP/LOW_HEALTH)、级别(HIGH/MEDIUM/LOW)、状态(ACTIVE/ACKNOWLEDGED/RESOLVED)</w:t>
      </w:r>
    </w:p>
    <w:p>
      <w:pPr>
        <w:pStyle w:val="Heading2"/>
      </w:pPr>
      <w:r>
        <w:rPr>
          <w:color w:val="1A56DB"/>
        </w:rPr>
        <w:t>10.2 告警详情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GET {{BASE_URL}}/api/alarms/{id}</w:t>
      </w:r>
    </w:p>
    <w:p>
      <w:pPr>
        <w:pStyle w:val="Heading2"/>
      </w:pPr>
      <w:r>
        <w:rPr>
          <w:color w:val="1A56DB"/>
        </w:rPr>
        <w:t>10.3 处理确认告警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PUT {{BASE_URL}}/api/alarms/{id}/handle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{"remark":"设备已恢复正常"}</w:t>
      </w:r>
    </w:p>
    <w:p>
      <w:pPr>
        <w:pStyle w:val="Heading2"/>
      </w:pPr>
      <w:r>
        <w:rPr>
          <w:color w:val="1A56DB"/>
        </w:rPr>
        <w:t>10.4 告警统计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GET {{BASE_URL}}/api/alarms/stats</w:t>
      </w:r>
    </w:p>
    <w:p>
      <w:pPr>
        <w:pStyle w:val="Heading2"/>
      </w:pPr>
      <w:r>
        <w:rPr>
          <w:color w:val="1A56DB"/>
        </w:rPr>
        <w:t>10.5 告警趋势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GET {{BASE_URL}}/api/alarms/trend?days=7</w:t>
      </w:r>
    </w:p>
    <w:p>
      <w:pPr>
        <w:pStyle w:val="Heading1"/>
      </w:pPr>
      <w:r>
        <w:rPr>
          <w:color w:val="1A56DB"/>
        </w:rPr>
        <w:t>十一、原型图与接口对照表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原型图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对应模块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涉及接口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loginscreen.png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登录认证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devicedetailscreen.png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设备详情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3.3, 4.1, 5.1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manualcontrolscreen.png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手动控制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6.1, 6.2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controllogscreen.png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控制历史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6.3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energyanalysisscreen.png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数据报表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8.1, 8.2, 8.3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smartassistantscreen.png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智能助手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9.1, 9.2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mapscreen.png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数字孪生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7.1~7.6, 3.1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alarmcenterscreen.png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告警中心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10.1~10.5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strategysettingsscreen.png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策略设置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不在第一阶段</w:t>
            </w:r>
          </w:p>
        </w:tc>
      </w:tr>
    </w:tbl>
    <w:p/>
    <w:p>
      <w:pPr>
        <w:pStyle w:val="Heading1"/>
      </w:pPr>
      <w:r>
        <w:rPr>
          <w:color w:val="1A56DB"/>
        </w:rPr>
        <w:t>十二、接口覆盖评估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模块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所需接口数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已就绪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缺失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登录认证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设备管理(含健康/遥测/控制)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数字孪生(仪表盘)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数据报表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智能助手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告警中心(配套)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合计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</w:tbl>
    <w:p/>
    <w:p>
      <w:r>
        <w:t>✅ 当前后端 API 完整覆盖移动端第一阶段所有需求，无缺失接口。</w:t>
      </w:r>
    </w:p>
    <w:p>
      <w:pPr>
        <w:pStyle w:val="Heading1"/>
      </w:pPr>
      <w:r>
        <w:rPr>
          <w:color w:val="1A56DB"/>
        </w:rPr>
        <w:t>十三、关于 {{BASE_URL}} 占位符</w:t>
      </w:r>
    </w:p>
    <w:p>
      <w:r>
        <w:t>本文档及《移动端开发参考.md》中所有接口地址均使用 {{BASE_URL}} 占位符，而非硬编码的 natapp 域名。</w:t>
      </w:r>
    </w:p>
    <w:p>
      <w:r>
        <w:t>原因：natapp 免费隧道每次重启域名可能变化，使用占位符便于移动端只需改动一处全局常量。</w:t>
      </w:r>
    </w:p>
    <w:p>
      <w:r>
        <w:t>移动端使用方式：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// Flutter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const BASE_URL = "http://实际地址:端口";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// Android/Java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public static final String BASE_URL = "http://实际地址:端口";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// iOS/Swift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let BASE_URL = "http://实际地址:端口"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// React Native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const BASE_URL = "http://实际地址:端口";</w:t>
      </w:r>
    </w:p>
    <w:p>
      <w:r>
        <w:t>当前联调阶段，实际地址由后端同学（natapp 隧道）提供。</w:t>
      </w:r>
    </w:p>
    <w:p>
      <w:r>
        <w:t>后端部署到云服务器后，改为固定 IP：http://47.96.27.141:8080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