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Supplementary Material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Contents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 PSM1: Propensity score matching variables</w:t>
        <w:br w:type="textWrapping"/>
        <w:t xml:space="preserve">Figure PSM1: Effect size of variables before and after propensity matching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rPr>
          <w:b w:val="1"/>
        </w:rPr>
      </w:pPr>
      <w:bookmarkStart w:colFirst="0" w:colLast="0" w:name="_5e5dct96gfgl" w:id="0"/>
      <w:bookmarkEnd w:id="0"/>
      <w:r w:rsidDel="00000000" w:rsidR="00000000" w:rsidRPr="00000000">
        <w:rPr>
          <w:b w:val="1"/>
          <w:rtl w:val="0"/>
        </w:rPr>
        <w:t xml:space="preserve">PROPENSITY SCORE MATCHING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Cases were matched to non-cases using </w:t>
      </w:r>
      <w:r w:rsidDel="00000000" w:rsidR="00000000" w:rsidRPr="00000000">
        <w:rPr>
          <w:rtl w:val="0"/>
        </w:rPr>
        <w:t xml:space="preserve">PsmPy (</w:t>
      </w:r>
      <w:hyperlink r:id="rId6">
        <w:r w:rsidDel="00000000" w:rsidR="00000000" w:rsidRPr="00000000">
          <w:rPr>
            <w:color w:val="1155cc"/>
            <w:u w:val="single"/>
            <w:rtl w:val="0"/>
          </w:rPr>
          <w:t xml:space="preserve">https://pubmed.ncbi.nlm.nih.gov/36086543/</w:t>
        </w:r>
      </w:hyperlink>
      <w:r w:rsidDel="00000000" w:rsidR="00000000" w:rsidRPr="00000000">
        <w:rPr>
          <w:rtl w:val="0"/>
        </w:rPr>
        <w:t xml:space="preserve">) an open source Python software</w:t>
      </w:r>
      <w:r w:rsidDel="00000000" w:rsidR="00000000" w:rsidRPr="00000000">
        <w:rPr>
          <w:rtl w:val="0"/>
        </w:rPr>
        <w:t xml:space="preserve"> for propensity score matching. PsmPy was configured to use logistic regression and k-nearest neighbors without a caliper width. The logistic regression output score denotes the propensity (probability) that each encounter matches the suicidality case definition. </w:t>
      </w:r>
      <w:r w:rsidDel="00000000" w:rsidR="00000000" w:rsidRPr="00000000">
        <w:rPr>
          <w:rtl w:val="0"/>
        </w:rPr>
        <w:t xml:space="preserve">The PsmPy input variables included demographics (gender, age group, patient reported race);  documented healthcare utilization, and </w:t>
      </w:r>
      <w:r w:rsidDel="00000000" w:rsidR="00000000" w:rsidRPr="00000000">
        <w:rPr>
          <w:rtl w:val="0"/>
        </w:rPr>
        <w:t xml:space="preserve">DSM-5 diagnostic categories</w:t>
      </w:r>
      <w:r w:rsidDel="00000000" w:rsidR="00000000" w:rsidRPr="00000000">
        <w:rPr>
          <w:rtl w:val="0"/>
        </w:rPr>
        <w:t xml:space="preserve">. Study period and selection criteria are described in the methods section of the manuscript. History was trimmed such that future encounter diagnosis would not influence prior predicted scores. The PsmPy logistic regression classifier was used to score the probability that each encounter would include an ICD-10 diagnosis code for suicidality. Cases of suicidality were then 1:1 matched to non-cases based on the PsmPy predicted propensity scores using k-nearest neighbors. </w:t>
      </w:r>
    </w:p>
    <w:p w:rsidR="00000000" w:rsidDel="00000000" w:rsidP="00000000" w:rsidRDefault="00000000" w:rsidRPr="00000000" w14:paraId="0000000A">
      <w:pPr>
        <w:rPr/>
      </w:pPr>
      <w:r w:rsidDel="00000000" w:rsidR="00000000" w:rsidRPr="00000000">
        <w:rPr>
          <w:rtl w:val="0"/>
        </w:rPr>
      </w:r>
    </w:p>
    <w:tbl>
      <w:tblPr>
        <w:tblStyle w:val="Table1"/>
        <w:tblW w:w="8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617.5"/>
        <w:gridCol w:w="4432.5"/>
        <w:tblGridChange w:id="0">
          <w:tblGrid>
            <w:gridCol w:w="1515"/>
            <w:gridCol w:w="2617.5"/>
            <w:gridCol w:w="44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Biological sex assigned at birth.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Patient age at visit. Age groups were children aged 6-11 and adolescents aged 12-18.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Patient reported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CDC race codes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American Indian or Alaska Native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Asian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Black or African American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Native Hawaiian or Pacific Islander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Other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White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Visit count,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patient encounters during the study period.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Count discharge summaries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documented hospital discharges.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Count ED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Number of documented ED encounters.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Count Psych 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Number of documented psychiatric evaluations.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Count Psych Consult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Number of documented psychiatric consults.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Person awaiting admission to adequate facility elsewhere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Binary variable: ICD-10 code Z75.1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DSM-5</w:t>
            </w:r>
          </w:p>
        </w:tc>
        <w:tc>
          <w:tcPr>
            <w:tcBorders>
              <w:top w:color="000000" w:space="0" w:sz="12"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Intellectual Disabilities</w:t>
            </w:r>
          </w:p>
        </w:tc>
        <w:tc>
          <w:tcPr>
            <w:tcBorders>
              <w:top w:color="000000" w:space="0" w:sz="12"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F70, F71, F72, F73, F88, F79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Communication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F80.9, F80.0, F80.81, F80.89, F80.9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Autism Spectrum Disorder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F84.0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Attention-Deficit/Hyperactivity Disorder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F90.0, F90.1, F90.2, F90.8, F90.9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Specific Learning Disorder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F81.0, F81.2, F81.81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Motor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F82, F98.4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Tic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F95.2, F95.1, F95.0, F95.8, F95.9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Other Neurodevelopmental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F88, F89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Schizophrenia Spectrum and Other Psychotic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F21, F22, F23, F20.81, F20.9, F25.0, F25.1, F06.0, F06.2, F28, F29, F06.1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Bipolar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F31.0, F31.1, F31.10, F31.11, F31.12, F31.13, F31.2, F31.3, F31.30, F31.31, F31.32, F31.4, F31.5, F31.6, F31.60, F31.61, F31.62, F31.63, F31.64, F31.7, F31.70, F31.71, F31.72, F31.73, F31.74, F31.75, F31.76, F31.77, F31.78, F31.8, F31.81, F34.0, F06.33, F06.34, F31.89, F31.9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Depressive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F34.8, F32.0, F32.1, F32.2, F32.3, F32.4, F32.5, F32.8, F32.81, F32.89, F32.9, F33.0, F33.1, F33.2, F33.3, F33.4, F33.40, F33.41, F33.42, F33.8, F33.9, F34.1, N94.3, F06.31, F06.32, F06.34, F32.8, F32.9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Anxiety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F93.0, F94.0, F40.218, F40.228, F40.230, F40.231, F40.232, F40.233, F40.248, F40.298, F40.10, F41.0, F40.00, F41.1, F06.4, F41.8, F41.9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Obsessive-Compulsive and Related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F42, F45.22, F63.2, L98.1, F06.8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Trauma- and Stressor-Related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F94.1, F94.2, F43.10, F43.0, F43.20, F43.21, F43.22, F43.23, F43.24, F43.25, F43.8, F43.9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Dissociative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F44.81, F44.0, F44.1, F48.1, F44.89, F44.9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Somatic Symptom and Related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F45.1, F45.21, F44.4, F44.5, F44.6, F44.7, F54, F68.10, F45.8, F45.9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Feeding and Eating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F98.3, F50.8, F98.21, F50.01, F50.02, F50.2, F50.9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Elimination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F98.0, F98.1, N39.498, R15.9, R32, R15.9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DSM-5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Sleep-Wake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G47.00, G47.10, G47.411, G47.419, G47.429, G47.33, G47.31, G47.37, R06.3, G47.37, G47.34, G47.35, G47.36, G47.20, G47.21, G47.22, G47.23, G47.24, G47.26, F51.3, F51.4, F51.5, G47.52, G25.81, G47.09, G47.00, G47.19, G47.10, G47.8, G47.9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Sexual Dysfunctions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F52.32, F52.21, F52.31, F52.22, F52.6, F52.0, F52.4, F52.8, F52.9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Gender Dysphoria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F64.1, F64.2, F64.8, F64.9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Disruptive, Impulse-Control, and Conduct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F91.3, F63.81, F91.1, F91.2, F91.9, F60.2, F63.1, F63.3, F91.8, F91.9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Substance-Related and Addictive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F10.10, F10.20, F10.129, F10.229, F10.929, F10.239, F10.232, F10.99, F15.929, F15.93, F15.99, F12.10, F12.20, F12.129, F12.229, F12.929, F12.122, F12.222, F12.922, F12.288, F12.99, F16.10, F16.20, F16.129, F16.229, F16.929, F16.983, F16.99, F18.10, F18.20, F18.129, F18.229, F18.929, F18.99, F11.10, F11.20, F11.129, F11.229, F11.929, F11.122, F11.222, F11.922, F11.23, F11.99, F13.10, F13.20, F13.129, F13.229, F13.929, F13.239, F13.232, F13.99, F15.10, F14.10, F15.20, F14.20, Z72.0, F17.200, F17.203, F17.209, F19.10, F19.20, F19.129, F19.229, F19.929, F19.239, F19.99, F63.0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Neurocognitive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F05, R41.0, F01.51, F01.50, G31.9, G31.84, F02.81, F02.80, R41.9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Personality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F60.0, F60.1, F21, F60.2, F60.3, F60.4, F60.81, F60.6, F60.7, F60.5, F07.0, F60.89, F60.9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Paraphilic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F65.3, F65.2, F65.81, F65.51, F65.52, F65.4, F65.0, F65.1, F65.89, F65.9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Other Mental Disorders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F06.8, F09, F99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DSM-5 </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Medication-Induced Movement Disorders and Other Adverse Effects of Medication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G21.11, G21.19, G21.0, G24.02, G25.71, G24.01, G24.09, G25.71, G25.1, G25.79, T43.205A, T43.205D, T43.205S, T50.905A, T50.905D, T50.905S</w:t>
            </w:r>
          </w:p>
        </w:tc>
      </w:tr>
    </w:tbl>
    <w:p w:rsidR="00000000" w:rsidDel="00000000" w:rsidP="00000000" w:rsidRDefault="00000000" w:rsidRPr="00000000" w14:paraId="00000084">
      <w:pPr>
        <w:rPr/>
      </w:pPr>
      <w:r w:rsidDel="00000000" w:rsidR="00000000" w:rsidRPr="00000000">
        <w:rPr>
          <w:b w:val="1"/>
          <w:rtl w:val="0"/>
        </w:rPr>
        <w:t xml:space="preserve">Table PSM1: Propensity score matching variables. </w:t>
      </w:r>
      <w:r w:rsidDel="00000000" w:rsidR="00000000" w:rsidRPr="00000000">
        <w:rPr>
          <w:rtl w:val="0"/>
        </w:rPr>
        <w:t xml:space="preserve">Type column denotes if the variable denotes demographics, healthcare utilization, or DSM-5 category. Variable column is the name of the variable used in the PSM model. Description column provides further detail. There are 28 DSM-5 categories, each category is either true or false (dichotomous variables).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Figure PSM1: Effect size of variables before and after propensity matching. </w:t>
      </w:r>
      <w:r w:rsidDel="00000000" w:rsidR="00000000" w:rsidRPr="00000000">
        <w:rPr>
          <w:rtl w:val="0"/>
        </w:rPr>
        <w:t xml:space="preserve">X-axis denotes effect size. Y-axis denotes each variable. Brown and blue bars denote variable effect size before and after matching, respectively. Largest effect size difference before matching was the healthcare utilization variable “count psychiatric consults”, followed by the DSM-V category “depressive disorders”. </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3608654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