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2"/>
        </w:rPr>
        <w:t>Zero Trust для ИИ-агентов</w:t>
      </w:r>
    </w:p>
    <w:p>
      <w:pPr>
        <w:jc w:val="center"/>
      </w:pPr>
      <w:r>
        <w:rPr>
          <w:i/>
          <w:color w:val="505050"/>
          <w:sz w:val="20"/>
        </w:rPr>
        <w:t>Комплект внедрения и приёмки промышленного пилота · версия 5.0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2CC"/>
          </w:tcPr>
          <w:p>
            <w:r>
              <w:rPr>
                <w:b/>
                <w:sz w:val="18"/>
              </w:rPr>
              <w:t>Состав: финальный чек-лист, стоп-критерии, метрики успеха, Runbook оператора, waiver-процесс, OPA/Rego reference policy, тест-кейсы и шаблон журнала инцидента.</w:t>
            </w:r>
          </w:p>
        </w:tc>
      </w:tr>
    </w:tbl>
    <w:p>
      <w:pPr>
        <w:pStyle w:val="Heading1"/>
      </w:pPr>
      <w:r>
        <w:t>Часть I. Финальный чек-лист пилота</w:t>
      </w:r>
    </w:p>
    <w:p>
      <w:pPr>
        <w:pStyle w:val="Heading2"/>
      </w:pPr>
      <w:r>
        <w:t>1. Инвентаризация и критичность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2606"/>
            <w:shd w:fill="17365D"/>
          </w:tcPr>
          <w:p>
            <w:r>
              <w:rPr>
                <w:b/>
                <w:color w:val="FFFFFF"/>
                <w:sz w:val="16"/>
              </w:rPr>
              <w:t>№</w:t>
            </w:r>
          </w:p>
        </w:tc>
        <w:tc>
          <w:tcPr>
            <w:tcW w:type="dxa" w:w="2606"/>
            <w:shd w:fill="17365D"/>
          </w:tcPr>
          <w:p>
            <w:r>
              <w:rPr>
                <w:b/>
                <w:color w:val="FFFFFF"/>
                <w:sz w:val="16"/>
              </w:rPr>
              <w:t>Требование</w:t>
            </w:r>
          </w:p>
        </w:tc>
        <w:tc>
          <w:tcPr>
            <w:tcW w:type="dxa" w:w="2606"/>
            <w:shd w:fill="17365D"/>
          </w:tcPr>
          <w:p>
            <w:r>
              <w:rPr>
                <w:b/>
                <w:color w:val="FFFFFF"/>
                <w:sz w:val="16"/>
              </w:rPr>
              <w:t>Проверяемый результат</w:t>
            </w:r>
          </w:p>
        </w:tc>
        <w:tc>
          <w:tcPr>
            <w:tcW w:type="dxa" w:w="2606"/>
            <w:shd w:fill="17365D"/>
          </w:tcPr>
          <w:p>
            <w:r>
              <w:rPr>
                <w:b/>
                <w:color w:val="FFFFFF"/>
                <w:sz w:val="16"/>
              </w:rPr>
              <w:t>Статус</w:t>
            </w:r>
          </w:p>
        </w:tc>
      </w:tr>
      <w:tr>
        <w:tc>
          <w:tcPr>
            <w:tcW w:type="dxa" w:w="2606"/>
            <w:vAlign w:val="center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2606"/>
            <w:vAlign w:val="center"/>
          </w:tcPr>
          <w:p>
            <w:r>
              <w:rPr>
                <w:sz w:val="15"/>
              </w:rPr>
              <w:t>Инвентаризировать агентов, владельцев, runtime, MCP/API tools, данные, внешние направления и дерево делегирования.</w:t>
            </w:r>
          </w:p>
        </w:tc>
        <w:tc>
          <w:tcPr>
            <w:tcW w:type="dxa" w:w="2606"/>
            <w:vAlign w:val="center"/>
          </w:tcPr>
          <w:p>
            <w:r>
              <w:rPr>
                <w:sz w:val="15"/>
              </w:rPr>
              <w:t>Реестр покрывает 100% пилотного контура; неучтённых агентов и инструментов нет.</w:t>
            </w:r>
          </w:p>
        </w:tc>
        <w:tc>
          <w:tcPr>
            <w:tcW w:type="dxa" w:w="2606"/>
            <w:vAlign w:val="center"/>
          </w:tcPr>
          <w:p>
            <w:r>
              <w:rPr>
                <w:sz w:val="15"/>
              </w:rPr>
              <w:t>☐</w:t>
            </w:r>
          </w:p>
        </w:tc>
      </w:tr>
      <w:tr>
        <w:tc>
          <w:tcPr>
            <w:tcW w:type="dxa" w:w="2606"/>
            <w:vAlign w:val="center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2606"/>
            <w:vAlign w:val="center"/>
          </w:tcPr>
          <w:p>
            <w:r>
              <w:rPr>
                <w:sz w:val="15"/>
              </w:rPr>
              <w:t>Классифицировать по четырём осям: чувствительность данных, изменяющие права, автономность, длительность задачи/сессии.</w:t>
            </w:r>
          </w:p>
        </w:tc>
        <w:tc>
          <w:tcPr>
            <w:tcW w:type="dxa" w:w="2606"/>
            <w:vAlign w:val="center"/>
          </w:tcPr>
          <w:p>
            <w:r>
              <w:rPr>
                <w:sz w:val="15"/>
              </w:rPr>
              <w:t>Для каждого агента заданы класс, max task duration, grace period, TTL и owner.</w:t>
            </w:r>
          </w:p>
        </w:tc>
        <w:tc>
          <w:tcPr>
            <w:tcW w:type="dxa" w:w="2606"/>
            <w:vAlign w:val="center"/>
          </w:tcPr>
          <w:p>
            <w:r>
              <w:rPr>
                <w:sz w:val="15"/>
              </w:rPr>
              <w:t>☐</w:t>
            </w:r>
          </w:p>
        </w:tc>
      </w:tr>
      <w:tr>
        <w:tc>
          <w:tcPr>
            <w:tcW w:type="dxa" w:w="2606"/>
            <w:vAlign w:val="center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2606"/>
            <w:vAlign w:val="center"/>
          </w:tcPr>
          <w:p>
            <w:r>
              <w:rPr>
                <w:sz w:val="15"/>
              </w:rPr>
              <w:t>Определить необратимые действия и внешние эффекты.</w:t>
            </w:r>
          </w:p>
        </w:tc>
        <w:tc>
          <w:tcPr>
            <w:tcW w:type="dxa" w:w="2606"/>
            <w:vAlign w:val="center"/>
          </w:tcPr>
          <w:p>
            <w:r>
              <w:rPr>
                <w:sz w:val="15"/>
              </w:rPr>
              <w:t>Для каждого действия задан human approval, технический запрет или waiver с компенсирующими контролями.</w:t>
            </w:r>
          </w:p>
        </w:tc>
        <w:tc>
          <w:tcPr>
            <w:tcW w:type="dxa" w:w="2606"/>
            <w:vAlign w:val="center"/>
          </w:tcPr>
          <w:p>
            <w:r>
              <w:rPr>
                <w:sz w:val="15"/>
              </w:rPr>
              <w:t>☐</w:t>
            </w:r>
          </w:p>
        </w:tc>
      </w:tr>
    </w:tbl>
    <w:p>
      <w:pPr>
        <w:pStyle w:val="Heading2"/>
      </w:pPr>
      <w:r>
        <w:t>2. Identity, attestation и authorization enforcement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2606"/>
            <w:shd w:fill="17365D"/>
          </w:tcPr>
          <w:p>
            <w:r>
              <w:rPr>
                <w:b/>
                <w:color w:val="FFFFFF"/>
                <w:sz w:val="16"/>
              </w:rPr>
              <w:t>№</w:t>
            </w:r>
          </w:p>
        </w:tc>
        <w:tc>
          <w:tcPr>
            <w:tcW w:type="dxa" w:w="2606"/>
            <w:shd w:fill="17365D"/>
          </w:tcPr>
          <w:p>
            <w:r>
              <w:rPr>
                <w:b/>
                <w:color w:val="FFFFFF"/>
                <w:sz w:val="16"/>
              </w:rPr>
              <w:t>Требование</w:t>
            </w:r>
          </w:p>
        </w:tc>
        <w:tc>
          <w:tcPr>
            <w:tcW w:type="dxa" w:w="2606"/>
            <w:shd w:fill="17365D"/>
          </w:tcPr>
          <w:p>
            <w:r>
              <w:rPr>
                <w:b/>
                <w:color w:val="FFFFFF"/>
                <w:sz w:val="16"/>
              </w:rPr>
              <w:t>Проверяемый результат</w:t>
            </w:r>
          </w:p>
        </w:tc>
        <w:tc>
          <w:tcPr>
            <w:tcW w:type="dxa" w:w="2606"/>
            <w:shd w:fill="17365D"/>
          </w:tcPr>
          <w:p>
            <w:r>
              <w:rPr>
                <w:b/>
                <w:color w:val="FFFFFF"/>
                <w:sz w:val="16"/>
              </w:rPr>
              <w:t>Статус</w:t>
            </w:r>
          </w:p>
        </w:tc>
      </w:tr>
      <w:tr>
        <w:tc>
          <w:tcPr>
            <w:tcW w:type="dxa" w:w="2606"/>
            <w:vAlign w:val="center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2606"/>
            <w:vAlign w:val="center"/>
          </w:tcPr>
          <w:p>
            <w:r>
              <w:rPr>
                <w:sz w:val="15"/>
              </w:rPr>
              <w:t>Выдать отдельную workload identity каждому логическому агенту; исключить неатрибутируемые shared credentials.</w:t>
            </w:r>
          </w:p>
        </w:tc>
        <w:tc>
          <w:tcPr>
            <w:tcW w:type="dxa" w:w="2606"/>
            <w:vAlign w:val="center"/>
          </w:tcPr>
          <w:p>
            <w:r>
              <w:rPr>
                <w:sz w:val="15"/>
              </w:rPr>
              <w:t>agent_id, instance_id, initiating_user и root_agent_id различимы end-to-end.</w:t>
            </w:r>
          </w:p>
        </w:tc>
        <w:tc>
          <w:tcPr>
            <w:tcW w:type="dxa" w:w="2606"/>
            <w:vAlign w:val="center"/>
          </w:tcPr>
          <w:p>
            <w:r>
              <w:rPr>
                <w:sz w:val="15"/>
              </w:rPr>
              <w:t>☐</w:t>
            </w:r>
          </w:p>
        </w:tc>
      </w:tr>
      <w:tr>
        <w:tc>
          <w:tcPr>
            <w:tcW w:type="dxa" w:w="2606"/>
            <w:vAlign w:val="center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2606"/>
            <w:vAlign w:val="center"/>
          </w:tcPr>
          <w:p>
            <w:r>
              <w:rPr>
                <w:sz w:val="15"/>
              </w:rPr>
              <w:t>Для high/critical проводить runtime attestation до выдачи credentials.</w:t>
            </w:r>
          </w:p>
        </w:tc>
        <w:tc>
          <w:tcPr>
            <w:tcW w:type="dxa" w:w="2606"/>
            <w:vAlign w:val="center"/>
          </w:tcPr>
          <w:p>
            <w:r>
              <w:rPr>
                <w:sz w:val="15"/>
              </w:rPr>
              <w:t>Провал attestation зафиксирован в логах, credentials не выпущены, агент остановлен.</w:t>
            </w:r>
          </w:p>
        </w:tc>
        <w:tc>
          <w:tcPr>
            <w:tcW w:type="dxa" w:w="2606"/>
            <w:vAlign w:val="center"/>
          </w:tcPr>
          <w:p>
            <w:r>
              <w:rPr>
                <w:sz w:val="15"/>
              </w:rPr>
              <w:t>☐</w:t>
            </w:r>
          </w:p>
        </w:tc>
      </w:tr>
      <w:tr>
        <w:tc>
          <w:tcPr>
            <w:tcW w:type="dxa" w:w="2606"/>
            <w:vAlign w:val="center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2606"/>
            <w:vAlign w:val="center"/>
          </w:tcPr>
          <w:p>
            <w:r>
              <w:rPr>
                <w:sz w:val="15"/>
              </w:rPr>
              <w:t>Использовать scoped short-lived credentials; revoke аннулирует access и refresh credentials; reissue только после повторной attestation.</w:t>
            </w:r>
          </w:p>
        </w:tc>
        <w:tc>
          <w:tcPr>
            <w:tcW w:type="dxa" w:w="2606"/>
            <w:vAlign w:val="center"/>
          </w:tcPr>
          <w:p>
            <w:r>
              <w:rPr>
                <w:sz w:val="15"/>
              </w:rPr>
              <w:t>Старая сессия невосстановима; новая выдача не расширяет исходные полномочия.</w:t>
            </w:r>
          </w:p>
        </w:tc>
        <w:tc>
          <w:tcPr>
            <w:tcW w:type="dxa" w:w="2606"/>
            <w:vAlign w:val="center"/>
          </w:tcPr>
          <w:p>
            <w:r>
              <w:rPr>
                <w:sz w:val="15"/>
              </w:rPr>
              <w:t>☐</w:t>
            </w:r>
          </w:p>
        </w:tc>
      </w:tr>
      <w:tr>
        <w:tc>
          <w:tcPr>
            <w:tcW w:type="dxa" w:w="2606"/>
            <w:vAlign w:val="center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2606"/>
            <w:vAlign w:val="center"/>
          </w:tcPr>
          <w:p>
            <w:r>
              <w:rPr>
                <w:sz w:val="15"/>
              </w:rPr>
              <w:t>Разместить PDP вне процесса агента; PEP - в API/MCP gateway, sidecar, service mesh или целевом сервисе.</w:t>
            </w:r>
          </w:p>
        </w:tc>
        <w:tc>
          <w:tcPr>
            <w:tcW w:type="dxa" w:w="2606"/>
            <w:vAlign w:val="center"/>
          </w:tcPr>
          <w:p>
            <w:r>
              <w:rPr>
                <w:sz w:val="15"/>
              </w:rPr>
              <w:t>Агент не может разрешить себе tool call или обойти enforcement point.</w:t>
            </w:r>
          </w:p>
        </w:tc>
        <w:tc>
          <w:tcPr>
            <w:tcW w:type="dxa" w:w="2606"/>
            <w:vAlign w:val="center"/>
          </w:tcPr>
          <w:p>
            <w:r>
              <w:rPr>
                <w:sz w:val="15"/>
              </w:rPr>
              <w:t>☐</w:t>
            </w:r>
          </w:p>
        </w:tc>
      </w:tr>
      <w:tr>
        <w:tc>
          <w:tcPr>
            <w:tcW w:type="dxa" w:w="2606"/>
            <w:vAlign w:val="center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2606"/>
            <w:vAlign w:val="center"/>
          </w:tcPr>
          <w:p>
            <w:r>
              <w:rPr>
                <w:sz w:val="15"/>
              </w:rPr>
              <w:t>Привязать кеш решения к версии policy. При смене версии старые решения инвалидируются атомарно; in-flight запросы обрабатываются по заранее определённому правилу.</w:t>
            </w:r>
          </w:p>
        </w:tc>
        <w:tc>
          <w:tcPr>
            <w:tcW w:type="dxa" w:w="2606"/>
            <w:vAlign w:val="center"/>
          </w:tcPr>
          <w:p>
            <w:r>
              <w:rPr>
                <w:sz w:val="15"/>
              </w:rPr>
              <w:t>Нет использования устаревшего allow после изменения критичной policy; результат проверен тестом смены версии.</w:t>
            </w:r>
          </w:p>
        </w:tc>
        <w:tc>
          <w:tcPr>
            <w:tcW w:type="dxa" w:w="2606"/>
            <w:vAlign w:val="center"/>
          </w:tcPr>
          <w:p>
            <w:r>
              <w:rPr>
                <w:sz w:val="15"/>
              </w:rPr>
              <w:t>☐</w:t>
            </w:r>
          </w:p>
        </w:tc>
      </w:tr>
    </w:tbl>
    <w:p>
      <w:pPr>
        <w:pStyle w:val="Heading2"/>
      </w:pPr>
      <w:r>
        <w:t>3. Data controls, RAG и blast radius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2606"/>
            <w:shd w:fill="17365D"/>
          </w:tcPr>
          <w:p>
            <w:r>
              <w:rPr>
                <w:b/>
                <w:color w:val="FFFFFF"/>
                <w:sz w:val="16"/>
              </w:rPr>
              <w:t>№</w:t>
            </w:r>
          </w:p>
        </w:tc>
        <w:tc>
          <w:tcPr>
            <w:tcW w:type="dxa" w:w="2606"/>
            <w:shd w:fill="17365D"/>
          </w:tcPr>
          <w:p>
            <w:r>
              <w:rPr>
                <w:b/>
                <w:color w:val="FFFFFF"/>
                <w:sz w:val="16"/>
              </w:rPr>
              <w:t>Требование</w:t>
            </w:r>
          </w:p>
        </w:tc>
        <w:tc>
          <w:tcPr>
            <w:tcW w:type="dxa" w:w="2606"/>
            <w:shd w:fill="17365D"/>
          </w:tcPr>
          <w:p>
            <w:r>
              <w:rPr>
                <w:b/>
                <w:color w:val="FFFFFF"/>
                <w:sz w:val="16"/>
              </w:rPr>
              <w:t>Проверяемый результат</w:t>
            </w:r>
          </w:p>
        </w:tc>
        <w:tc>
          <w:tcPr>
            <w:tcW w:type="dxa" w:w="2606"/>
            <w:shd w:fill="17365D"/>
          </w:tcPr>
          <w:p>
            <w:r>
              <w:rPr>
                <w:b/>
                <w:color w:val="FFFFFF"/>
                <w:sz w:val="16"/>
              </w:rPr>
              <w:t>Статус</w:t>
            </w:r>
          </w:p>
        </w:tc>
      </w:tr>
      <w:tr>
        <w:tc>
          <w:tcPr>
            <w:tcW w:type="dxa" w:w="2606"/>
            <w:vAlign w:val="center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2606"/>
            <w:vAlign w:val="center"/>
          </w:tcPr>
          <w:p>
            <w:r>
              <w:rPr>
                <w:sz w:val="15"/>
              </w:rPr>
              <w:t>Default deny для tools, операций, network destinations и data classes.</w:t>
            </w:r>
          </w:p>
        </w:tc>
        <w:tc>
          <w:tcPr>
            <w:tcW w:type="dxa" w:w="2606"/>
            <w:vAlign w:val="center"/>
          </w:tcPr>
          <w:p>
            <w:r>
              <w:rPr>
                <w:sz w:val="15"/>
              </w:rPr>
              <w:t>Запрещённый вызов блокируется до выполнения.</w:t>
            </w:r>
          </w:p>
        </w:tc>
        <w:tc>
          <w:tcPr>
            <w:tcW w:type="dxa" w:w="2606"/>
            <w:vAlign w:val="center"/>
          </w:tcPr>
          <w:p>
            <w:r>
              <w:rPr>
                <w:sz w:val="15"/>
              </w:rPr>
              <w:t>☐</w:t>
            </w:r>
          </w:p>
        </w:tc>
      </w:tr>
      <w:tr>
        <w:tc>
          <w:tcPr>
            <w:tcW w:type="dxa" w:w="2606"/>
            <w:vAlign w:val="center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2606"/>
            <w:vAlign w:val="center"/>
          </w:tcPr>
          <w:p>
            <w:r>
              <w:rPr>
                <w:sz w:val="15"/>
              </w:rPr>
              <w:t>Ограничить объём и частоту на request, task и всё дерево агентов. Счётчики вести в trusted atomic state store.</w:t>
            </w:r>
          </w:p>
        </w:tc>
        <w:tc>
          <w:tcPr>
            <w:tcW w:type="dxa" w:w="2606"/>
            <w:vAlign w:val="center"/>
          </w:tcPr>
          <w:p>
            <w:r>
              <w:rPr>
                <w:sz w:val="15"/>
              </w:rPr>
              <w:t>Субагенты и параллельные запросы не обходят task/tree budget.</w:t>
            </w:r>
          </w:p>
        </w:tc>
        <w:tc>
          <w:tcPr>
            <w:tcW w:type="dxa" w:w="2606"/>
            <w:vAlign w:val="center"/>
          </w:tcPr>
          <w:p>
            <w:r>
              <w:rPr>
                <w:sz w:val="15"/>
              </w:rPr>
              <w:t>☐</w:t>
            </w:r>
          </w:p>
        </w:tc>
      </w:tr>
      <w:tr>
        <w:tc>
          <w:tcPr>
            <w:tcW w:type="dxa" w:w="2606"/>
            <w:vAlign w:val="center"/>
          </w:tcPr>
          <w:p>
            <w:r>
              <w:rPr>
                <w:sz w:val="15"/>
              </w:rPr>
              <w:t>11</w:t>
            </w:r>
          </w:p>
        </w:tc>
        <w:tc>
          <w:tcPr>
            <w:tcW w:type="dxa" w:w="2606"/>
            <w:vAlign w:val="center"/>
          </w:tcPr>
          <w:p>
            <w:r>
              <w:rPr>
                <w:sz w:val="15"/>
              </w:rPr>
              <w:t>Для RAG ограничить top-k, chunks, context size и суммарный semantic budget за задачу и дерево.</w:t>
            </w:r>
          </w:p>
        </w:tc>
        <w:tc>
          <w:tcPr>
            <w:tcW w:type="dxa" w:w="2606"/>
            <w:vAlign w:val="center"/>
          </w:tcPr>
          <w:p>
            <w:r>
              <w:rPr>
                <w:sz w:val="15"/>
              </w:rPr>
              <w:t>Серия синонимичных retrieval-запросов не превышает общий бюджет.</w:t>
            </w:r>
          </w:p>
        </w:tc>
        <w:tc>
          <w:tcPr>
            <w:tcW w:type="dxa" w:w="2606"/>
            <w:vAlign w:val="center"/>
          </w:tcPr>
          <w:p>
            <w:r>
              <w:rPr>
                <w:sz w:val="15"/>
              </w:rPr>
              <w:t>☐</w:t>
            </w:r>
          </w:p>
        </w:tc>
      </w:tr>
      <w:tr>
        <w:tc>
          <w:tcPr>
            <w:tcW w:type="dxa" w:w="2606"/>
            <w:vAlign w:val="center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2606"/>
            <w:vAlign w:val="center"/>
          </w:tcPr>
          <w:p>
            <w:r>
              <w:rPr>
                <w:sz w:val="15"/>
              </w:rPr>
              <w:t>Применять обязательные metadata filters tenant/project/owner/data_class на retrieval layer.</w:t>
            </w:r>
          </w:p>
        </w:tc>
        <w:tc>
          <w:tcPr>
            <w:tcW w:type="dxa" w:w="2606"/>
            <w:vAlign w:val="center"/>
          </w:tcPr>
          <w:p>
            <w:r>
              <w:rPr>
                <w:sz w:val="15"/>
              </w:rPr>
              <w:t>Чужие документы не возвращаются ни прямым, ни семантическим запросом.</w:t>
            </w:r>
          </w:p>
        </w:tc>
        <w:tc>
          <w:tcPr>
            <w:tcW w:type="dxa" w:w="2606"/>
            <w:vAlign w:val="center"/>
          </w:tcPr>
          <w:p>
            <w:r>
              <w:rPr>
                <w:sz w:val="15"/>
              </w:rPr>
              <w:t>☐</w:t>
            </w:r>
          </w:p>
        </w:tc>
      </w:tr>
      <w:tr>
        <w:tc>
          <w:tcPr>
            <w:tcW w:type="dxa" w:w="2606"/>
            <w:vAlign w:val="center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2606"/>
            <w:vAlign w:val="center"/>
          </w:tcPr>
          <w:p>
            <w:r>
              <w:rPr>
                <w:sz w:val="15"/>
              </w:rPr>
              <w:t>Маскирование применять на уровне данных одинаково для API, JOIN, alternate endpoints и MCP tools.</w:t>
            </w:r>
          </w:p>
        </w:tc>
        <w:tc>
          <w:tcPr>
            <w:tcW w:type="dxa" w:w="2606"/>
            <w:vAlign w:val="center"/>
          </w:tcPr>
          <w:p>
            <w:r>
              <w:rPr>
                <w:sz w:val="15"/>
              </w:rPr>
              <w:t>Один атрибут нельзя получить без маскировки альтернативным путём; агент не получает отдельный сигнал о применённой маске.</w:t>
            </w:r>
          </w:p>
        </w:tc>
        <w:tc>
          <w:tcPr>
            <w:tcW w:type="dxa" w:w="2606"/>
            <w:vAlign w:val="center"/>
          </w:tcPr>
          <w:p>
            <w:r>
              <w:rPr>
                <w:sz w:val="15"/>
              </w:rPr>
              <w:t>☐</w:t>
            </w:r>
          </w:p>
        </w:tc>
      </w:tr>
      <w:tr>
        <w:tc>
          <w:tcPr>
            <w:tcW w:type="dxa" w:w="2606"/>
            <w:vAlign w:val="center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2606"/>
            <w:vAlign w:val="center"/>
          </w:tcPr>
          <w:p>
            <w:r>
              <w:rPr>
                <w:sz w:val="15"/>
              </w:rPr>
              <w:t>Контролировать export по доменам, регионам, форматам, времени и behavioural baseline.</w:t>
            </w:r>
          </w:p>
        </w:tc>
        <w:tc>
          <w:tcPr>
            <w:tcW w:type="dxa" w:w="2606"/>
            <w:vAlign w:val="center"/>
          </w:tcPr>
          <w:p>
            <w:r>
              <w:rPr>
                <w:sz w:val="15"/>
              </w:rPr>
              <w:t>Превышение объёма или географическое несоответствие блокируется либо создаёт priority alert по классу критичности.</w:t>
            </w:r>
          </w:p>
        </w:tc>
        <w:tc>
          <w:tcPr>
            <w:tcW w:type="dxa" w:w="2606"/>
            <w:vAlign w:val="center"/>
          </w:tcPr>
          <w:p>
            <w:r>
              <w:rPr>
                <w:sz w:val="15"/>
              </w:rPr>
              <w:t>☐</w:t>
            </w:r>
          </w:p>
        </w:tc>
      </w:tr>
    </w:tbl>
    <w:p>
      <w:pPr>
        <w:pStyle w:val="Heading2"/>
      </w:pPr>
      <w:r>
        <w:t>4. Attribution, telemetry и policy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2606"/>
            <w:shd w:fill="17365D"/>
          </w:tcPr>
          <w:p>
            <w:r>
              <w:rPr>
                <w:b/>
                <w:color w:val="FFFFFF"/>
                <w:sz w:val="16"/>
              </w:rPr>
              <w:t>№</w:t>
            </w:r>
          </w:p>
        </w:tc>
        <w:tc>
          <w:tcPr>
            <w:tcW w:type="dxa" w:w="2606"/>
            <w:shd w:fill="17365D"/>
          </w:tcPr>
          <w:p>
            <w:r>
              <w:rPr>
                <w:b/>
                <w:color w:val="FFFFFF"/>
                <w:sz w:val="16"/>
              </w:rPr>
              <w:t>Требование</w:t>
            </w:r>
          </w:p>
        </w:tc>
        <w:tc>
          <w:tcPr>
            <w:tcW w:type="dxa" w:w="2606"/>
            <w:shd w:fill="17365D"/>
          </w:tcPr>
          <w:p>
            <w:r>
              <w:rPr>
                <w:b/>
                <w:color w:val="FFFFFF"/>
                <w:sz w:val="16"/>
              </w:rPr>
              <w:t>Проверяемый результат</w:t>
            </w:r>
          </w:p>
        </w:tc>
        <w:tc>
          <w:tcPr>
            <w:tcW w:type="dxa" w:w="2606"/>
            <w:shd w:fill="17365D"/>
          </w:tcPr>
          <w:p>
            <w:r>
              <w:rPr>
                <w:b/>
                <w:color w:val="FFFFFF"/>
                <w:sz w:val="16"/>
              </w:rPr>
              <w:t>Статус</w:t>
            </w:r>
          </w:p>
        </w:tc>
      </w:tr>
      <w:tr>
        <w:tc>
          <w:tcPr>
            <w:tcW w:type="dxa" w:w="2606"/>
            <w:vAlign w:val="center"/>
          </w:tcPr>
          <w:p>
            <w:r>
              <w:rPr>
                <w:sz w:val="15"/>
              </w:rPr>
              <w:t>15</w:t>
            </w:r>
          </w:p>
        </w:tc>
        <w:tc>
          <w:tcPr>
            <w:tcW w:type="dxa" w:w="2606"/>
            <w:vAlign w:val="center"/>
          </w:tcPr>
          <w:p>
            <w:r>
              <w:rPr>
                <w:sz w:val="15"/>
              </w:rPr>
              <w:t>Передавать initiating_user, agent_id, parent_agent, root_agent, task_id, session_id, policy_version, trace_id.</w:t>
            </w:r>
          </w:p>
        </w:tc>
        <w:tc>
          <w:tcPr>
            <w:tcW w:type="dxa" w:w="2606"/>
            <w:vAlign w:val="center"/>
          </w:tcPr>
          <w:p>
            <w:r>
              <w:rPr>
                <w:sz w:val="15"/>
              </w:rPr>
              <w:t>Полная цепочка восстанавливается из независимых источников.</w:t>
            </w:r>
          </w:p>
        </w:tc>
        <w:tc>
          <w:tcPr>
            <w:tcW w:type="dxa" w:w="2606"/>
            <w:vAlign w:val="center"/>
          </w:tcPr>
          <w:p>
            <w:r>
              <w:rPr>
                <w:sz w:val="15"/>
              </w:rPr>
              <w:t>☐</w:t>
            </w:r>
          </w:p>
        </w:tc>
      </w:tr>
      <w:tr>
        <w:tc>
          <w:tcPr>
            <w:tcW w:type="dxa" w:w="2606"/>
            <w:vAlign w:val="center"/>
          </w:tcPr>
          <w:p>
            <w:r>
              <w:rPr>
                <w:sz w:val="15"/>
              </w:rPr>
              <w:t>16</w:t>
            </w:r>
          </w:p>
        </w:tc>
        <w:tc>
          <w:tcPr>
            <w:tcW w:type="dxa" w:w="2606"/>
            <w:vAlign w:val="center"/>
          </w:tcPr>
          <w:p>
            <w:r>
              <w:rPr>
                <w:sz w:val="15"/>
              </w:rPr>
              <w:t>Для каждого внешнего сервиса выполнить end-to-end интеграционный тест приёма и сохранения контекста.</w:t>
            </w:r>
          </w:p>
        </w:tc>
        <w:tc>
          <w:tcPr>
            <w:tcW w:type="dxa" w:w="2606"/>
            <w:vAlign w:val="center"/>
          </w:tcPr>
          <w:p>
            <w:r>
              <w:rPr>
                <w:sz w:val="15"/>
              </w:rPr>
              <w:t>Результат теста документирован по каждому сервису; failure на критическом пути блокирует запуск.</w:t>
            </w:r>
          </w:p>
        </w:tc>
        <w:tc>
          <w:tcPr>
            <w:tcW w:type="dxa" w:w="2606"/>
            <w:vAlign w:val="center"/>
          </w:tcPr>
          <w:p>
            <w:r>
              <w:rPr>
                <w:sz w:val="15"/>
              </w:rPr>
              <w:t>☐</w:t>
            </w:r>
          </w:p>
        </w:tc>
      </w:tr>
      <w:tr>
        <w:tc>
          <w:tcPr>
            <w:tcW w:type="dxa" w:w="2606"/>
            <w:vAlign w:val="center"/>
          </w:tcPr>
          <w:p>
            <w:r>
              <w:rPr>
                <w:sz w:val="15"/>
              </w:rPr>
              <w:t>17</w:t>
            </w:r>
          </w:p>
        </w:tc>
        <w:tc>
          <w:tcPr>
            <w:tcW w:type="dxa" w:w="2606"/>
            <w:vAlign w:val="center"/>
          </w:tcPr>
          <w:p>
            <w:r>
              <w:rPr>
                <w:sz w:val="15"/>
              </w:rPr>
              <w:t>Сопоставлять IAM/PDP/PEP, runtime, MCP/API gateway, Syslog/NetFlow и traces.</w:t>
            </w:r>
          </w:p>
        </w:tc>
        <w:tc>
          <w:tcPr>
            <w:tcW w:type="dxa" w:w="2606"/>
            <w:vAlign w:val="center"/>
          </w:tcPr>
          <w:p>
            <w:r>
              <w:rPr>
                <w:sz w:val="15"/>
              </w:rPr>
              <w:t>Инцидент реконструируется без доверия к одному источнику.</w:t>
            </w:r>
          </w:p>
        </w:tc>
        <w:tc>
          <w:tcPr>
            <w:tcW w:type="dxa" w:w="2606"/>
            <w:vAlign w:val="center"/>
          </w:tcPr>
          <w:p>
            <w:r>
              <w:rPr>
                <w:sz w:val="15"/>
              </w:rPr>
              <w:t>☐</w:t>
            </w:r>
          </w:p>
        </w:tc>
      </w:tr>
      <w:tr>
        <w:tc>
          <w:tcPr>
            <w:tcW w:type="dxa" w:w="2606"/>
            <w:vAlign w:val="center"/>
          </w:tcPr>
          <w:p>
            <w:r>
              <w:rPr>
                <w:sz w:val="15"/>
              </w:rPr>
              <w:t>18</w:t>
            </w:r>
          </w:p>
        </w:tc>
        <w:tc>
          <w:tcPr>
            <w:tcW w:type="dxa" w:w="2606"/>
            <w:vAlign w:val="center"/>
          </w:tcPr>
          <w:p>
            <w:r>
              <w:rPr>
                <w:sz w:val="15"/>
              </w:rPr>
              <w:t>Аудировать изменения policy; critical changes - four-eyes approval.</w:t>
            </w:r>
          </w:p>
        </w:tc>
        <w:tc>
          <w:tcPr>
            <w:tcW w:type="dxa" w:w="2606"/>
            <w:vAlign w:val="center"/>
          </w:tcPr>
          <w:p>
            <w:r>
              <w:rPr>
                <w:sz w:val="15"/>
              </w:rPr>
              <w:t>100% изменений имеют автора, время, причину, версию и согласование.</w:t>
            </w:r>
          </w:p>
        </w:tc>
        <w:tc>
          <w:tcPr>
            <w:tcW w:type="dxa" w:w="2606"/>
            <w:vAlign w:val="center"/>
          </w:tcPr>
          <w:p>
            <w:r>
              <w:rPr>
                <w:sz w:val="15"/>
              </w:rPr>
              <w:t>☐</w:t>
            </w:r>
          </w:p>
        </w:tc>
      </w:tr>
    </w:tbl>
    <w:p>
      <w:pPr>
        <w:pStyle w:val="Heading2"/>
      </w:pPr>
      <w:r>
        <w:t>5. Incident response, revoke и rollback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2606"/>
            <w:shd w:fill="17365D"/>
          </w:tcPr>
          <w:p>
            <w:r>
              <w:rPr>
                <w:b/>
                <w:color w:val="FFFFFF"/>
                <w:sz w:val="16"/>
              </w:rPr>
              <w:t>№</w:t>
            </w:r>
          </w:p>
        </w:tc>
        <w:tc>
          <w:tcPr>
            <w:tcW w:type="dxa" w:w="2606"/>
            <w:shd w:fill="17365D"/>
          </w:tcPr>
          <w:p>
            <w:r>
              <w:rPr>
                <w:b/>
                <w:color w:val="FFFFFF"/>
                <w:sz w:val="16"/>
              </w:rPr>
              <w:t>Требование</w:t>
            </w:r>
          </w:p>
        </w:tc>
        <w:tc>
          <w:tcPr>
            <w:tcW w:type="dxa" w:w="2606"/>
            <w:shd w:fill="17365D"/>
          </w:tcPr>
          <w:p>
            <w:r>
              <w:rPr>
                <w:b/>
                <w:color w:val="FFFFFF"/>
                <w:sz w:val="16"/>
              </w:rPr>
              <w:t>Проверяемый результат</w:t>
            </w:r>
          </w:p>
        </w:tc>
        <w:tc>
          <w:tcPr>
            <w:tcW w:type="dxa" w:w="2606"/>
            <w:shd w:fill="17365D"/>
          </w:tcPr>
          <w:p>
            <w:r>
              <w:rPr>
                <w:b/>
                <w:color w:val="FFFFFF"/>
                <w:sz w:val="16"/>
              </w:rPr>
              <w:t>Статус</w:t>
            </w:r>
          </w:p>
        </w:tc>
      </w:tr>
      <w:tr>
        <w:tc>
          <w:tcPr>
            <w:tcW w:type="dxa" w:w="2606"/>
            <w:vAlign w:val="center"/>
          </w:tcPr>
          <w:p>
            <w:r>
              <w:rPr>
                <w:sz w:val="15"/>
              </w:rPr>
              <w:t>19</w:t>
            </w:r>
          </w:p>
        </w:tc>
        <w:tc>
          <w:tcPr>
            <w:tcW w:type="dxa" w:w="2606"/>
            <w:vAlign w:val="center"/>
          </w:tcPr>
          <w:p>
            <w:r>
              <w:rPr>
                <w:sz w:val="15"/>
              </w:rPr>
              <w:t>Провести indirect prompt injection с запрещённым tool call и export attempt.</w:t>
            </w:r>
          </w:p>
        </w:tc>
        <w:tc>
          <w:tcPr>
            <w:tcW w:type="dxa" w:w="2606"/>
            <w:vAlign w:val="center"/>
          </w:tcPr>
          <w:p>
            <w:r>
              <w:rPr>
                <w:sz w:val="15"/>
              </w:rPr>
              <w:t>PEP блокирует; owner/SOC уведомлены; новые сессии остановлены.</w:t>
            </w:r>
          </w:p>
        </w:tc>
        <w:tc>
          <w:tcPr>
            <w:tcW w:type="dxa" w:w="2606"/>
            <w:vAlign w:val="center"/>
          </w:tcPr>
          <w:p>
            <w:r>
              <w:rPr>
                <w:sz w:val="15"/>
              </w:rPr>
              <w:t>☐</w:t>
            </w:r>
          </w:p>
        </w:tc>
      </w:tr>
      <w:tr>
        <w:tc>
          <w:tcPr>
            <w:tcW w:type="dxa" w:w="2606"/>
            <w:vAlign w:val="center"/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2606"/>
            <w:vAlign w:val="center"/>
          </w:tcPr>
          <w:p>
            <w:r>
              <w:rPr>
                <w:sz w:val="15"/>
              </w:rPr>
              <w:t>Проверить revoke → reissue.</w:t>
            </w:r>
          </w:p>
        </w:tc>
        <w:tc>
          <w:tcPr>
            <w:tcW w:type="dxa" w:w="2606"/>
            <w:vAlign w:val="center"/>
          </w:tcPr>
          <w:p>
            <w:r>
              <w:rPr>
                <w:sz w:val="15"/>
              </w:rPr>
              <w:t>Access/refresh credentials старой сессии недействительны; новая выдача требует attestation и актуальную policy.</w:t>
            </w:r>
          </w:p>
        </w:tc>
        <w:tc>
          <w:tcPr>
            <w:tcW w:type="dxa" w:w="2606"/>
            <w:vAlign w:val="center"/>
          </w:tcPr>
          <w:p>
            <w:r>
              <w:rPr>
                <w:sz w:val="15"/>
              </w:rPr>
              <w:t>☐</w:t>
            </w:r>
          </w:p>
        </w:tc>
      </w:tr>
      <w:tr>
        <w:tc>
          <w:tcPr>
            <w:tcW w:type="dxa" w:w="2606"/>
            <w:vAlign w:val="center"/>
          </w:tcPr>
          <w:p>
            <w:r>
              <w:rPr>
                <w:sz w:val="15"/>
              </w:rPr>
              <w:t>21</w:t>
            </w:r>
          </w:p>
        </w:tc>
        <w:tc>
          <w:tcPr>
            <w:tcW w:type="dxa" w:w="2606"/>
            <w:vAlign w:val="center"/>
          </w:tcPr>
          <w:p>
            <w:r>
              <w:rPr>
                <w:sz w:val="15"/>
              </w:rPr>
              <w:t>Для изменяющих операций определить rollback/compensating transaction и RTO до пилота.</w:t>
            </w:r>
          </w:p>
        </w:tc>
        <w:tc>
          <w:tcPr>
            <w:tcW w:type="dxa" w:w="2606"/>
            <w:vAlign w:val="center"/>
          </w:tcPr>
          <w:p>
            <w:r>
              <w:rPr>
                <w:sz w:val="15"/>
              </w:rPr>
              <w:t>Откат выполнен в заданный RTO (&lt; X минут, значение утверждается до старта).</w:t>
            </w:r>
          </w:p>
        </w:tc>
        <w:tc>
          <w:tcPr>
            <w:tcW w:type="dxa" w:w="2606"/>
            <w:vAlign w:val="center"/>
          </w:tcPr>
          <w:p>
            <w:r>
              <w:rPr>
                <w:sz w:val="15"/>
              </w:rPr>
              <w:t>☐</w:t>
            </w:r>
          </w:p>
        </w:tc>
      </w:tr>
      <w:tr>
        <w:tc>
          <w:tcPr>
            <w:tcW w:type="dxa" w:w="2606"/>
            <w:vAlign w:val="center"/>
          </w:tcPr>
          <w:p>
            <w:r>
              <w:rPr>
                <w:sz w:val="15"/>
              </w:rPr>
              <w:t>22</w:t>
            </w:r>
          </w:p>
        </w:tc>
        <w:tc>
          <w:tcPr>
            <w:tcW w:type="dxa" w:w="2606"/>
            <w:vAlign w:val="center"/>
          </w:tcPr>
          <w:p>
            <w:r>
              <w:rPr>
                <w:sz w:val="15"/>
              </w:rPr>
              <w:t>Необратимые действия требуют human approval с TTL, single-use и запретом autoretry.</w:t>
            </w:r>
          </w:p>
        </w:tc>
        <w:tc>
          <w:tcPr>
            <w:tcW w:type="dxa" w:w="2606"/>
            <w:vAlign w:val="center"/>
          </w:tcPr>
          <w:p>
            <w:r>
              <w:rPr>
                <w:sz w:val="15"/>
              </w:rPr>
              <w:t>Просроченное approval не исполняется; новое действие требует нового одобрения.</w:t>
            </w:r>
          </w:p>
        </w:tc>
        <w:tc>
          <w:tcPr>
            <w:tcW w:type="dxa" w:w="2606"/>
            <w:vAlign w:val="center"/>
          </w:tcPr>
          <w:p>
            <w:r>
              <w:rPr>
                <w:sz w:val="15"/>
              </w:rPr>
              <w:t>☐</w:t>
            </w:r>
          </w:p>
        </w:tc>
      </w:tr>
    </w:tbl>
    <w:p>
      <w:pPr>
        <w:pStyle w:val="Heading2"/>
      </w:pPr>
      <w:r>
        <w:t>Стоп-критерии: пилот не допускается к запуску</w:t>
      </w:r>
    </w:p>
    <w:p>
      <w:pPr>
        <w:pStyle w:val="ListBullet"/>
        <w:spacing w:after="40"/>
      </w:pPr>
      <w:r>
        <w:t>High/critical агент не поддерживает attestation или при её провале получает credentials.</w:t>
      </w:r>
    </w:p>
    <w:p>
      <w:pPr>
        <w:pStyle w:val="ListBullet"/>
        <w:spacing w:after="40"/>
      </w:pPr>
      <w:r>
        <w:t>PDP находится внутри агента либо PEP можно обойти.</w:t>
      </w:r>
    </w:p>
    <w:p>
      <w:pPr>
        <w:pStyle w:val="ListBullet"/>
        <w:spacing w:after="40"/>
      </w:pPr>
      <w:r>
        <w:t>Policy cache не связан с policy version или не инвалидируется атомарно.</w:t>
      </w:r>
    </w:p>
    <w:p>
      <w:pPr>
        <w:pStyle w:val="ListBullet"/>
        <w:spacing w:after="40"/>
      </w:pPr>
      <w:r>
        <w:t>Trusted state store не атомарный, доступен агенту на запись или не учитывает task/tree budgets.</w:t>
      </w:r>
    </w:p>
    <w:p>
      <w:pPr>
        <w:pStyle w:val="ListBullet"/>
        <w:spacing w:after="40"/>
      </w:pPr>
      <w:r>
        <w:t>Лимиты request/task/tree не суммируются на всё дерево агентов.</w:t>
      </w:r>
    </w:p>
    <w:p>
      <w:pPr>
        <w:pStyle w:val="ListBullet"/>
        <w:spacing w:after="40"/>
      </w:pPr>
      <w:r>
        <w:t>RAG работает без metadata filters или допускает обход cumulative semantic budget.</w:t>
      </w:r>
    </w:p>
    <w:p>
      <w:pPr>
        <w:pStyle w:val="ListBullet"/>
        <w:spacing w:after="40"/>
      </w:pPr>
      <w:r>
        <w:t>Защищаемый атрибут доступен через альтернативный endpoint/JOIN без эквивалентного контроля.</w:t>
      </w:r>
    </w:p>
    <w:p>
      <w:pPr>
        <w:pStyle w:val="ListBullet"/>
        <w:spacing w:after="40"/>
      </w:pPr>
      <w:r>
        <w:t>Критический сервис не принимает и не сохраняет обязательный attribution context.</w:t>
      </w:r>
    </w:p>
    <w:p>
      <w:pPr>
        <w:pStyle w:val="ListBullet"/>
        <w:spacing w:after="40"/>
      </w:pPr>
      <w:r>
        <w:t>Revoke не аннулирует refresh credentials или reissue не требует attestation.</w:t>
      </w:r>
    </w:p>
    <w:p>
      <w:pPr>
        <w:pStyle w:val="ListBullet"/>
        <w:spacing w:after="40"/>
      </w:pPr>
      <w:r>
        <w:t>Необратимое действие выполняется без действующего human approval.</w:t>
      </w:r>
    </w:p>
    <w:p>
      <w:pPr>
        <w:pStyle w:val="ListBullet"/>
        <w:spacing w:after="40"/>
      </w:pPr>
      <w:r>
        <w:t>Critical policy changes не аудируются или не требуют второго согласования.</w:t>
      </w:r>
    </w:p>
    <w:p>
      <w:pPr>
        <w:pStyle w:val="ListBullet"/>
        <w:spacing w:after="40"/>
      </w:pPr>
      <w:r>
        <w:t>Критичное исключение действует без CISO/архитектор approval, срока и compensating controls.</w:t>
      </w:r>
    </w:p>
    <w:p>
      <w:pPr>
        <w:pStyle w:val="Heading2"/>
      </w:pPr>
      <w:r>
        <w:t>Критерии успешного завершения пилота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5213"/>
            <w:shd w:fill="17365D"/>
          </w:tcPr>
          <w:p>
            <w:r>
              <w:rPr>
                <w:b/>
                <w:color w:val="FFFFFF"/>
                <w:sz w:val="16"/>
              </w:rPr>
              <w:t>Метрика</w:t>
            </w:r>
          </w:p>
        </w:tc>
        <w:tc>
          <w:tcPr>
            <w:tcW w:type="dxa" w:w="5213"/>
            <w:shd w:fill="17365D"/>
          </w:tcPr>
          <w:p>
            <w:r>
              <w:rPr>
                <w:b/>
                <w:color w:val="FFFFFF"/>
                <w:sz w:val="16"/>
              </w:rPr>
              <w:t>Целевое значение</w:t>
            </w:r>
          </w:p>
        </w:tc>
      </w:tr>
      <w:tr>
        <w:tc>
          <w:tcPr>
            <w:tcW w:type="dxa" w:w="5213"/>
          </w:tcPr>
          <w:p>
            <w:r>
              <w:rPr>
                <w:sz w:val="15"/>
              </w:rPr>
              <w:t>Policy enforcement</w:t>
            </w:r>
          </w:p>
        </w:tc>
        <w:tc>
          <w:tcPr>
            <w:tcW w:type="dxa" w:w="5213"/>
          </w:tcPr>
          <w:p>
            <w:r>
              <w:rPr>
                <w:sz w:val="15"/>
              </w:rPr>
              <w:t>100% запрещённых тестовых tool calls заблокированы до выполнения.</w:t>
            </w:r>
          </w:p>
        </w:tc>
      </w:tr>
      <w:tr>
        <w:tc>
          <w:tcPr>
            <w:tcW w:type="dxa" w:w="5213"/>
          </w:tcPr>
          <w:p>
            <w:r>
              <w:rPr>
                <w:sz w:val="15"/>
              </w:rPr>
              <w:t>Detection &amp; containment</w:t>
            </w:r>
          </w:p>
        </w:tc>
        <w:tc>
          <w:tcPr>
            <w:tcW w:type="dxa" w:w="5213"/>
          </w:tcPr>
          <w:p>
            <w:r>
              <w:rPr>
                <w:sz w:val="15"/>
              </w:rPr>
              <w:t>Критичный сценарий обнаружен и технически остановлен &lt; 60 секунд.</w:t>
            </w:r>
          </w:p>
        </w:tc>
      </w:tr>
      <w:tr>
        <w:tc>
          <w:tcPr>
            <w:tcW w:type="dxa" w:w="5213"/>
          </w:tcPr>
          <w:p>
            <w:r>
              <w:rPr>
                <w:sz w:val="15"/>
              </w:rPr>
              <w:t>Attribution coverage</w:t>
            </w:r>
          </w:p>
        </w:tc>
        <w:tc>
          <w:tcPr>
            <w:tcW w:type="dxa" w:w="5213"/>
          </w:tcPr>
          <w:p>
            <w:r>
              <w:rPr>
                <w:sz w:val="15"/>
              </w:rPr>
              <w:t>100% сервисов critical path сохраняют обязательный контекст.</w:t>
            </w:r>
          </w:p>
        </w:tc>
      </w:tr>
      <w:tr>
        <w:tc>
          <w:tcPr>
            <w:tcW w:type="dxa" w:w="5213"/>
          </w:tcPr>
          <w:p>
            <w:r>
              <w:rPr>
                <w:sz w:val="15"/>
              </w:rPr>
              <w:t>Revocation</w:t>
            </w:r>
          </w:p>
        </w:tc>
        <w:tc>
          <w:tcPr>
            <w:tcW w:type="dxa" w:w="5213"/>
          </w:tcPr>
          <w:p>
            <w:r>
              <w:rPr>
                <w:sz w:val="15"/>
              </w:rPr>
              <w:t>100% старых access/refresh credentials недействительны после revoke.</w:t>
            </w:r>
          </w:p>
        </w:tc>
      </w:tr>
      <w:tr>
        <w:tc>
          <w:tcPr>
            <w:tcW w:type="dxa" w:w="5213"/>
          </w:tcPr>
          <w:p>
            <w:r>
              <w:rPr>
                <w:sz w:val="15"/>
              </w:rPr>
              <w:t>Data/RAG controls</w:t>
            </w:r>
          </w:p>
        </w:tc>
        <w:tc>
          <w:tcPr>
            <w:tcW w:type="dxa" w:w="5213"/>
          </w:tcPr>
          <w:p>
            <w:r>
              <w:rPr>
                <w:sz w:val="15"/>
              </w:rPr>
              <w:t>0 обходов metadata scope, task budget и tree budget.</w:t>
            </w:r>
          </w:p>
        </w:tc>
      </w:tr>
      <w:tr>
        <w:tc>
          <w:tcPr>
            <w:tcW w:type="dxa" w:w="5213"/>
          </w:tcPr>
          <w:p>
            <w:r>
              <w:rPr>
                <w:sz w:val="15"/>
              </w:rPr>
              <w:t>Rollback RTO</w:t>
            </w:r>
          </w:p>
        </w:tc>
        <w:tc>
          <w:tcPr>
            <w:tcW w:type="dxa" w:w="5213"/>
          </w:tcPr>
          <w:p>
            <w:r>
              <w:rPr>
                <w:sz w:val="15"/>
              </w:rPr>
              <w:t>Изменяющие операции откатываются менее чем за X минут; X утверждается до пилота.</w:t>
            </w:r>
          </w:p>
        </w:tc>
      </w:tr>
      <w:tr>
        <w:tc>
          <w:tcPr>
            <w:tcW w:type="dxa" w:w="5213"/>
          </w:tcPr>
          <w:p>
            <w:r>
              <w:rPr>
                <w:sz w:val="15"/>
              </w:rPr>
              <w:t>False positives</w:t>
            </w:r>
          </w:p>
        </w:tc>
        <w:tc>
          <w:tcPr>
            <w:tcW w:type="dxa" w:w="5213"/>
          </w:tcPr>
          <w:p>
            <w:r>
              <w:rPr>
                <w:sz w:val="15"/>
              </w:rPr>
              <w:t>Не выше утверждённого порога; порог и методика заданы до старта.</w:t>
            </w:r>
          </w:p>
        </w:tc>
      </w:tr>
      <w:tr>
        <w:tc>
          <w:tcPr>
            <w:tcW w:type="dxa" w:w="5213"/>
          </w:tcPr>
          <w:p>
            <w:r>
              <w:rPr>
                <w:sz w:val="15"/>
              </w:rPr>
              <w:t>Policy audit</w:t>
            </w:r>
          </w:p>
        </w:tc>
        <w:tc>
          <w:tcPr>
            <w:tcW w:type="dxa" w:w="5213"/>
          </w:tcPr>
          <w:p>
            <w:r>
              <w:rPr>
                <w:sz w:val="15"/>
              </w:rPr>
              <w:t>100% critical changes имеют автора, причину, policy version и second approval.</w:t>
            </w:r>
          </w:p>
        </w:tc>
      </w:tr>
    </w:tbl>
    <w:p>
      <w:pPr>
        <w:pStyle w:val="Heading1"/>
      </w:pPr>
      <w:r>
        <w:t>Часть II. Runbook оператора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D9EAF7"/>
          </w:tcPr>
          <w:p>
            <w:r>
              <w:rPr>
                <w:b/>
                <w:sz w:val="18"/>
              </w:rPr>
              <w:t>Цель: остановить агентный инцидент, подтвердить revoke и сохранить доказательства. Команды ниже адаптируются под конкретные IAM/PDP/PEP/SIEM.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3475"/>
            <w:shd w:fill="17365D"/>
          </w:tcPr>
          <w:p>
            <w:r>
              <w:rPr>
                <w:b/>
                <w:color w:val="FFFFFF"/>
                <w:sz w:val="16"/>
              </w:rPr>
              <w:t>Шаг</w:t>
            </w:r>
          </w:p>
        </w:tc>
        <w:tc>
          <w:tcPr>
            <w:tcW w:type="dxa" w:w="3475"/>
            <w:shd w:fill="17365D"/>
          </w:tcPr>
          <w:p>
            <w:r>
              <w:rPr>
                <w:b/>
                <w:color w:val="FFFFFF"/>
                <w:sz w:val="16"/>
              </w:rPr>
              <w:t>Действие оператора</w:t>
            </w:r>
          </w:p>
        </w:tc>
        <w:tc>
          <w:tcPr>
            <w:tcW w:type="dxa" w:w="3475"/>
            <w:shd w:fill="17365D"/>
          </w:tcPr>
          <w:p>
            <w:r>
              <w:rPr>
                <w:b/>
                <w:color w:val="FFFFFF"/>
                <w:sz w:val="16"/>
              </w:rPr>
              <w:t>Подтверждение</w:t>
            </w:r>
          </w:p>
        </w:tc>
      </w:tr>
      <w:tr>
        <w:tc>
          <w:tcPr>
            <w:tcW w:type="dxa" w:w="3475"/>
          </w:tcPr>
          <w:p>
            <w:r>
              <w:rPr>
                <w:sz w:val="15"/>
              </w:rPr>
              <w:t>1. Triage</w:t>
            </w:r>
          </w:p>
        </w:tc>
        <w:tc>
          <w:tcPr>
            <w:tcW w:type="dxa" w:w="3475"/>
          </w:tcPr>
          <w:p>
            <w:r>
              <w:rPr>
                <w:sz w:val="15"/>
              </w:rPr>
              <w:t>Найти agent_id, session_id, task_id, root_agent_id, trace_id, policy_version; определить criticality и owner.</w:t>
            </w:r>
          </w:p>
        </w:tc>
        <w:tc>
          <w:tcPr>
            <w:tcW w:type="dxa" w:w="3475"/>
          </w:tcPr>
          <w:p>
            <w:r>
              <w:rPr>
                <w:sz w:val="15"/>
              </w:rPr>
              <w:t>Incident ID создан; контекст приложен.</w:t>
            </w:r>
          </w:p>
        </w:tc>
      </w:tr>
      <w:tr>
        <w:tc>
          <w:tcPr>
            <w:tcW w:type="dxa" w:w="3475"/>
          </w:tcPr>
          <w:p>
            <w:r>
              <w:rPr>
                <w:sz w:val="15"/>
              </w:rPr>
              <w:t>2. Contain</w:t>
            </w:r>
          </w:p>
        </w:tc>
        <w:tc>
          <w:tcPr>
            <w:tcW w:type="dxa" w:w="3475"/>
          </w:tcPr>
          <w:p>
            <w:r>
              <w:rPr>
                <w:sz w:val="15"/>
              </w:rPr>
              <w:t>На PEP заблокировать agent/session; запретить новые сессии; при необходимости изолировать VLAN/namespace/egress identity.</w:t>
            </w:r>
          </w:p>
        </w:tc>
        <w:tc>
          <w:tcPr>
            <w:tcW w:type="dxa" w:w="3475"/>
          </w:tcPr>
          <w:p>
            <w:r>
              <w:rPr>
                <w:sz w:val="15"/>
              </w:rPr>
              <w:t>Новый deny виден в PDP/PEP и Syslog.</w:t>
            </w:r>
          </w:p>
        </w:tc>
      </w:tr>
      <w:tr>
        <w:tc>
          <w:tcPr>
            <w:tcW w:type="dxa" w:w="3475"/>
          </w:tcPr>
          <w:p>
            <w:r>
              <w:rPr>
                <w:sz w:val="15"/>
              </w:rPr>
              <w:t>3. Revoke</w:t>
            </w:r>
          </w:p>
        </w:tc>
        <w:tc>
          <w:tcPr>
            <w:tcW w:type="dxa" w:w="3475"/>
          </w:tcPr>
          <w:p>
            <w:r>
              <w:rPr>
                <w:sz w:val="15"/>
              </w:rPr>
              <w:t>Отозвать access + refresh credentials; прекратить выдачу новых credentials.</w:t>
            </w:r>
          </w:p>
        </w:tc>
        <w:tc>
          <w:tcPr>
            <w:tcW w:type="dxa" w:w="3475"/>
          </w:tcPr>
          <w:p>
            <w:r>
              <w:rPr>
                <w:sz w:val="15"/>
              </w:rPr>
              <w:t>Повторный запрос старым credential получает deny.</w:t>
            </w:r>
          </w:p>
        </w:tc>
      </w:tr>
      <w:tr>
        <w:tc>
          <w:tcPr>
            <w:tcW w:type="dxa" w:w="3475"/>
          </w:tcPr>
          <w:p>
            <w:r>
              <w:rPr>
                <w:sz w:val="15"/>
              </w:rPr>
              <w:t>4. Attest</w:t>
            </w:r>
          </w:p>
        </w:tc>
        <w:tc>
          <w:tcPr>
            <w:tcW w:type="dxa" w:w="3475"/>
          </w:tcPr>
          <w:p>
            <w:r>
              <w:rPr>
                <w:sz w:val="15"/>
              </w:rPr>
              <w:t>Повторно проверить image/runtime measurement. При failure оставить агент заблокированным.</w:t>
            </w:r>
          </w:p>
        </w:tc>
        <w:tc>
          <w:tcPr>
            <w:tcW w:type="dxa" w:w="3475"/>
          </w:tcPr>
          <w:p>
            <w:r>
              <w:rPr>
                <w:sz w:val="15"/>
              </w:rPr>
              <w:t>Attestation result записан.</w:t>
            </w:r>
          </w:p>
        </w:tc>
      </w:tr>
      <w:tr>
        <w:tc>
          <w:tcPr>
            <w:tcW w:type="dxa" w:w="3475"/>
          </w:tcPr>
          <w:p>
            <w:r>
              <w:rPr>
                <w:sz w:val="15"/>
              </w:rPr>
              <w:t>5. Validate policy</w:t>
            </w:r>
          </w:p>
        </w:tc>
        <w:tc>
          <w:tcPr>
            <w:tcW w:type="dxa" w:w="3475"/>
          </w:tcPr>
          <w:p>
            <w:r>
              <w:rPr>
                <w:sz w:val="15"/>
              </w:rPr>
              <w:t>Проверить активную policy_version, cache invalidation и отсутствие stale allow.</w:t>
            </w:r>
          </w:p>
        </w:tc>
        <w:tc>
          <w:tcPr>
            <w:tcW w:type="dxa" w:w="3475"/>
          </w:tcPr>
          <w:p>
            <w:r>
              <w:rPr>
                <w:sz w:val="15"/>
              </w:rPr>
              <w:t>Тестовый запрещённый tool call блокируется.</w:t>
            </w:r>
          </w:p>
        </w:tc>
      </w:tr>
      <w:tr>
        <w:tc>
          <w:tcPr>
            <w:tcW w:type="dxa" w:w="3475"/>
          </w:tcPr>
          <w:p>
            <w:r>
              <w:rPr>
                <w:sz w:val="15"/>
              </w:rPr>
              <w:t>6. Assess effects</w:t>
            </w:r>
          </w:p>
        </w:tc>
        <w:tc>
          <w:tcPr>
            <w:tcW w:type="dxa" w:w="3475"/>
          </w:tcPr>
          <w:p>
            <w:r>
              <w:rPr>
                <w:sz w:val="15"/>
              </w:rPr>
              <w:t>Проверить tool calls, RAG retrieval, export, изменённые объекты и необратимые действия.</w:t>
            </w:r>
          </w:p>
        </w:tc>
        <w:tc>
          <w:tcPr>
            <w:tcW w:type="dxa" w:w="3475"/>
          </w:tcPr>
          <w:p>
            <w:r>
              <w:rPr>
                <w:sz w:val="15"/>
              </w:rPr>
              <w:t>Blast radius зафиксирован.</w:t>
            </w:r>
          </w:p>
        </w:tc>
      </w:tr>
      <w:tr>
        <w:tc>
          <w:tcPr>
            <w:tcW w:type="dxa" w:w="3475"/>
          </w:tcPr>
          <w:p>
            <w:r>
              <w:rPr>
                <w:sz w:val="15"/>
              </w:rPr>
              <w:t>7. Rollback/notify</w:t>
            </w:r>
          </w:p>
        </w:tc>
        <w:tc>
          <w:tcPr>
            <w:tcW w:type="dxa" w:w="3475"/>
          </w:tcPr>
          <w:p>
            <w:r>
              <w:rPr>
                <w:sz w:val="15"/>
              </w:rPr>
              <w:t>Запустить rollback/compensation; для необратимых эффектов уведомить владельцев и recipients.</w:t>
            </w:r>
          </w:p>
        </w:tc>
        <w:tc>
          <w:tcPr>
            <w:tcW w:type="dxa" w:w="3475"/>
          </w:tcPr>
          <w:p>
            <w:r>
              <w:rPr>
                <w:sz w:val="15"/>
              </w:rPr>
              <w:t>RTO и результат записаны.</w:t>
            </w:r>
          </w:p>
        </w:tc>
      </w:tr>
      <w:tr>
        <w:tc>
          <w:tcPr>
            <w:tcW w:type="dxa" w:w="3475"/>
          </w:tcPr>
          <w:p>
            <w:r>
              <w:rPr>
                <w:sz w:val="15"/>
              </w:rPr>
              <w:t>8. Reissue</w:t>
            </w:r>
          </w:p>
        </w:tc>
        <w:tc>
          <w:tcPr>
            <w:tcW w:type="dxa" w:w="3475"/>
          </w:tcPr>
          <w:p>
            <w:r>
              <w:rPr>
                <w:sz w:val="15"/>
              </w:rPr>
              <w:t>После устранения причины - новая attestation, новая scoped credential, текущая policy.</w:t>
            </w:r>
          </w:p>
        </w:tc>
        <w:tc>
          <w:tcPr>
            <w:tcW w:type="dxa" w:w="3475"/>
          </w:tcPr>
          <w:p>
            <w:r>
              <w:rPr>
                <w:sz w:val="15"/>
              </w:rPr>
              <w:t>Новая сессия проходит positive/negative tests.</w:t>
            </w:r>
          </w:p>
        </w:tc>
      </w:tr>
      <w:tr>
        <w:tc>
          <w:tcPr>
            <w:tcW w:type="dxa" w:w="3475"/>
          </w:tcPr>
          <w:p>
            <w:r>
              <w:rPr>
                <w:sz w:val="15"/>
              </w:rPr>
              <w:t>9. Close</w:t>
            </w:r>
          </w:p>
        </w:tc>
        <w:tc>
          <w:tcPr>
            <w:tcW w:type="dxa" w:w="3475"/>
          </w:tcPr>
          <w:p>
            <w:r>
              <w:rPr>
                <w:sz w:val="15"/>
              </w:rPr>
              <w:t>Обновить incident journal, threat model, tests, runbook и policy audit.</w:t>
            </w:r>
          </w:p>
        </w:tc>
        <w:tc>
          <w:tcPr>
            <w:tcW w:type="dxa" w:w="3475"/>
          </w:tcPr>
          <w:p>
            <w:r>
              <w:rPr>
                <w:sz w:val="15"/>
              </w:rPr>
              <w:t>Closure criteria выполнены.</w:t>
            </w:r>
          </w:p>
        </w:tc>
      </w:tr>
    </w:tbl>
    <w:p>
      <w:r>
        <w:t>Операторские точки доступа (заполнить до пилота): IAM console/CLI: __________; PDP dashboard: __________; PEP control: __________; SIEM query: __________; NetFlow/Syslog dashboard: __________; On-call contacts: __________.</w:t>
      </w:r>
    </w:p>
    <w:p>
      <w:pPr>
        <w:pStyle w:val="Heading1"/>
      </w:pPr>
      <w:r>
        <w:t>Часть III. Исключения и waiver-процесс</w:t>
      </w:r>
    </w:p>
    <w:p>
      <w:pPr>
        <w:pStyle w:val="ListBullet"/>
        <w:spacing w:after="40"/>
      </w:pPr>
      <w:r>
        <w:t>Waiver допускается только для некритичного либо временно ограниченного сценария. Для critical agent отсутствие attestation, attribution или enforcement не может быть компенсировано бумажным исключением.</w:t>
      </w:r>
    </w:p>
    <w:p>
      <w:pPr>
        <w:pStyle w:val="ListBullet"/>
        <w:spacing w:after="40"/>
      </w:pPr>
      <w:r>
        <w:t>Запрос содержит: агент/сервис, нарушаемое требование, бизнес-обоснование, срок, owner, risk rating, compensating controls, monitoring plan и exit plan.</w:t>
      </w:r>
    </w:p>
    <w:p>
      <w:pPr>
        <w:pStyle w:val="ListBullet"/>
        <w:spacing w:after="40"/>
      </w:pPr>
      <w:r>
        <w:t>Согласование: system owner + security architect; high/critical - дополнительно CISO. Critical policy waiver требует принципа двух лиц.</w:t>
      </w:r>
    </w:p>
    <w:p>
      <w:pPr>
        <w:pStyle w:val="ListBullet"/>
        <w:spacing w:after="40"/>
      </w:pPr>
      <w:r>
        <w:t>Максимальный срок waiver задаётся политикой организации; рекомендуется не более 30-90 дней. Автопродление запрещено.</w:t>
      </w:r>
    </w:p>
    <w:p>
      <w:pPr>
        <w:pStyle w:val="ListBullet"/>
        <w:spacing w:after="40"/>
      </w:pPr>
      <w:r>
        <w:t>Компенсирующие меры: более узкие network scopes, lower data budgets, mandatory human approval, enhanced logging, increased review cadence, sandbox/read-only mode.</w:t>
      </w:r>
    </w:p>
    <w:p>
      <w:pPr>
        <w:pStyle w:val="ListBullet"/>
        <w:spacing w:after="40"/>
      </w:pPr>
      <w:r>
        <w:t>Waiver автоматически истекает; после expiry агент блокируется либо переводится в approved control state.</w:t>
      </w:r>
    </w:p>
    <w:p>
      <w:pPr>
        <w:pStyle w:val="ListBullet"/>
        <w:spacing w:after="40"/>
      </w:pPr>
      <w:r>
        <w:t>Все waiver и изменения логируются и отражаются на dashboard как отдельный риск.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5213"/>
            <w:shd w:fill="17365D"/>
          </w:tcPr>
          <w:p>
            <w:r>
              <w:rPr>
                <w:b/>
                <w:color w:val="FFFFFF"/>
                <w:sz w:val="16"/>
              </w:rPr>
              <w:t>Поле waiver</w:t>
            </w:r>
          </w:p>
        </w:tc>
        <w:tc>
          <w:tcPr>
            <w:tcW w:type="dxa" w:w="5213"/>
            <w:shd w:fill="17365D"/>
          </w:tcPr>
          <w:p>
            <w:r>
              <w:rPr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5213"/>
          </w:tcPr>
          <w:p>
            <w:r>
              <w:rPr>
                <w:sz w:val="15"/>
              </w:rPr>
              <w:t>Waiver ID</w:t>
            </w:r>
          </w:p>
        </w:tc>
        <w:tc>
          <w:tcPr>
            <w:tcW w:type="dxa" w:w="5213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5213"/>
          </w:tcPr>
          <w:p>
            <w:r>
              <w:rPr>
                <w:sz w:val="15"/>
              </w:rPr>
              <w:t>Agent/service</w:t>
            </w:r>
          </w:p>
        </w:tc>
        <w:tc>
          <w:tcPr>
            <w:tcW w:type="dxa" w:w="5213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5213"/>
          </w:tcPr>
          <w:p>
            <w:r>
              <w:rPr>
                <w:sz w:val="15"/>
              </w:rPr>
              <w:t>Requirement</w:t>
            </w:r>
          </w:p>
        </w:tc>
        <w:tc>
          <w:tcPr>
            <w:tcW w:type="dxa" w:w="5213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5213"/>
          </w:tcPr>
          <w:p>
            <w:r>
              <w:rPr>
                <w:sz w:val="15"/>
              </w:rPr>
              <w:t>Business justification</w:t>
            </w:r>
          </w:p>
        </w:tc>
        <w:tc>
          <w:tcPr>
            <w:tcW w:type="dxa" w:w="5213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5213"/>
          </w:tcPr>
          <w:p>
            <w:r>
              <w:rPr>
                <w:sz w:val="15"/>
              </w:rPr>
              <w:t>Risk rating</w:t>
            </w:r>
          </w:p>
        </w:tc>
        <w:tc>
          <w:tcPr>
            <w:tcW w:type="dxa" w:w="5213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5213"/>
          </w:tcPr>
          <w:p>
            <w:r>
              <w:rPr>
                <w:sz w:val="15"/>
              </w:rPr>
              <w:t>Compensating controls</w:t>
            </w:r>
          </w:p>
        </w:tc>
        <w:tc>
          <w:tcPr>
            <w:tcW w:type="dxa" w:w="5213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5213"/>
          </w:tcPr>
          <w:p>
            <w:r>
              <w:rPr>
                <w:sz w:val="15"/>
              </w:rPr>
              <w:t>Owner</w:t>
            </w:r>
          </w:p>
        </w:tc>
        <w:tc>
          <w:tcPr>
            <w:tcW w:type="dxa" w:w="5213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5213"/>
          </w:tcPr>
          <w:p>
            <w:r>
              <w:rPr>
                <w:sz w:val="15"/>
              </w:rPr>
              <w:t>Approvers</w:t>
            </w:r>
          </w:p>
        </w:tc>
        <w:tc>
          <w:tcPr>
            <w:tcW w:type="dxa" w:w="5213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5213"/>
          </w:tcPr>
          <w:p>
            <w:r>
              <w:rPr>
                <w:sz w:val="15"/>
              </w:rPr>
              <w:t>Start/expiry</w:t>
            </w:r>
          </w:p>
        </w:tc>
        <w:tc>
          <w:tcPr>
            <w:tcW w:type="dxa" w:w="5213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5213"/>
          </w:tcPr>
          <w:p>
            <w:r>
              <w:rPr>
                <w:sz w:val="15"/>
              </w:rPr>
              <w:t>Exit plan</w:t>
            </w:r>
          </w:p>
        </w:tc>
        <w:tc>
          <w:tcPr>
            <w:tcW w:type="dxa" w:w="5213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5213"/>
          </w:tcPr>
          <w:p>
            <w:r>
              <w:rPr>
                <w:sz w:val="15"/>
              </w:rPr>
              <w:t>Review cadence</w:t>
            </w:r>
          </w:p>
        </w:tc>
        <w:tc>
          <w:tcPr>
            <w:tcW w:type="dxa" w:w="5213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5213"/>
          </w:tcPr>
          <w:p>
            <w:r>
              <w:rPr>
                <w:sz w:val="15"/>
              </w:rPr>
              <w:t>Status</w:t>
            </w:r>
          </w:p>
        </w:tc>
        <w:tc>
          <w:tcPr>
            <w:tcW w:type="dxa" w:w="5213"/>
          </w:tcPr>
          <w:p>
            <w:r>
              <w:rPr>
                <w:sz w:val="15"/>
              </w:rPr>
            </w:r>
          </w:p>
        </w:tc>
      </w:tr>
    </w:tbl>
    <w:p>
      <w:pPr>
        <w:pStyle w:val="Heading1"/>
      </w:pPr>
      <w:r>
        <w:t>Часть IV. OPA/Rego reference policy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2CC"/>
          </w:tcPr>
          <w:p>
            <w:r>
              <w:rPr>
                <w:b/>
                <w:sz w:val="18"/>
              </w:rPr>
              <w:t>Полный файл поставляется отдельно: RAG_policy_Zero_Trust_v5.rego. Он включает session expiry, attestation, policy version, metadata scope, task/tree budgets, export domain/region и parent delegation scope.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7F7F7"/>
          </w:tcPr>
          <w:p>
            <w:pPr>
              <w:spacing w:after="0"/>
            </w:pPr>
            <w:r>
              <w:rPr>
                <w:rFonts w:ascii="DejaVu Sans Mono" w:hAnsi="DejaVu Sans Mono"/>
                <w:sz w:val="13"/>
              </w:rPr>
              <w:t>package zero_trust.rag</w:t>
            </w:r>
            <w:r>
              <w:br/>
            </w:r>
            <w:r>
              <w:rPr>
                <w:rFonts w:ascii="DejaVu Sans Mono" w:hAnsi="DejaVu Sans Mono"/>
                <w:sz w:val="13"/>
              </w:rPr>
            </w:r>
            <w:r>
              <w:br/>
            </w:r>
            <w:r>
              <w:rPr>
                <w:rFonts w:ascii="DejaVu Sans Mono" w:hAnsi="DejaVu Sans Mono"/>
                <w:sz w:val="13"/>
              </w:rPr>
              <w:t># Reference implementation for OPA/Rego.</w:t>
            </w:r>
            <w:r>
              <w:br/>
            </w:r>
            <w:r>
              <w:rPr>
                <w:rFonts w:ascii="DejaVu Sans Mono" w:hAnsi="DejaVu Sans Mono"/>
                <w:sz w:val="13"/>
              </w:rPr>
              <w:t># Production requirements:</w:t>
            </w:r>
            <w:r>
              <w:br/>
            </w:r>
            <w:r>
              <w:rPr>
                <w:rFonts w:ascii="DejaVu Sans Mono" w:hAnsi="DejaVu Sans Mono"/>
                <w:sz w:val="13"/>
              </w:rPr>
              <w:t># 1. Counters must be stored in an external trusted atomic state store.</w:t>
            </w:r>
            <w:r>
              <w:br/>
            </w:r>
            <w:r>
              <w:rPr>
                <w:rFonts w:ascii="DejaVu Sans Mono" w:hAnsi="DejaVu Sans Mono"/>
                <w:sz w:val="13"/>
              </w:rPr>
              <w:t># 2. The agent must not have write access to policy, counters, attestation state, or policy-version state.</w:t>
            </w:r>
            <w:r>
              <w:br/>
            </w:r>
            <w:r>
              <w:rPr>
                <w:rFonts w:ascii="DejaVu Sans Mono" w:hAnsi="DejaVu Sans Mono"/>
                <w:sz w:val="13"/>
              </w:rPr>
              <w:t># 3. Parent/child permissions must be resolved by a trusted authorization service.</w:t>
            </w:r>
            <w:r>
              <w:br/>
            </w:r>
            <w:r>
              <w:rPr>
                <w:rFonts w:ascii="DejaVu Sans Mono" w:hAnsi="DejaVu Sans Mono"/>
                <w:sz w:val="13"/>
              </w:rPr>
              <w:t># 4. Destination domain/region controls require authoritative classification data.</w:t>
            </w:r>
            <w:r>
              <w:br/>
            </w:r>
            <w:r>
              <w:rPr>
                <w:rFonts w:ascii="DejaVu Sans Mono" w:hAnsi="DejaVu Sans Mono"/>
                <w:sz w:val="13"/>
              </w:rPr>
            </w:r>
            <w:r>
              <w:br/>
            </w:r>
            <w:r>
              <w:rPr>
                <w:rFonts w:ascii="DejaVu Sans Mono" w:hAnsi="DejaVu Sans Mono"/>
                <w:sz w:val="13"/>
              </w:rPr>
              <w:t>default allow := false</w:t>
            </w:r>
            <w:r>
              <w:br/>
            </w:r>
            <w:r>
              <w:rPr>
                <w:rFonts w:ascii="DejaVu Sans Mono" w:hAnsi="DejaVu Sans Mono"/>
                <w:sz w:val="13"/>
              </w:rPr>
            </w:r>
            <w:r>
              <w:br/>
            </w:r>
            <w:r>
              <w:rPr>
                <w:rFonts w:ascii="DejaVu Sans Mono" w:hAnsi="DejaVu Sans Mono"/>
                <w:sz w:val="13"/>
              </w:rPr>
              <w:t>required_context := {"agent_id", "session_id", "task_id", "root_agent_id", "policy_version"}</w:t>
            </w:r>
            <w:r>
              <w:br/>
            </w:r>
            <w:r>
              <w:rPr>
                <w:rFonts w:ascii="DejaVu Sans Mono" w:hAnsi="DejaVu Sans Mono"/>
                <w:sz w:val="13"/>
              </w:rPr>
            </w:r>
            <w:r>
              <w:br/>
            </w:r>
            <w:r>
              <w:rPr>
                <w:rFonts w:ascii="DejaVu Sans Mono" w:hAnsi="DejaVu Sans Mono"/>
                <w:sz w:val="13"/>
              </w:rPr>
              <w:t>missing_context contains key if {</w:t>
            </w:r>
            <w:r>
              <w:br/>
            </w:r>
            <w:r>
              <w:rPr>
                <w:rFonts w:ascii="DejaVu Sans Mono" w:hAnsi="DejaVu Sans Mono"/>
                <w:sz w:val="13"/>
              </w:rPr>
              <w:t xml:space="preserve">  key := required_context[_]</w:t>
            </w:r>
            <w:r>
              <w:br/>
            </w:r>
            <w:r>
              <w:rPr>
                <w:rFonts w:ascii="DejaVu Sans Mono" w:hAnsi="DejaVu Sans Mono"/>
                <w:sz w:val="13"/>
              </w:rPr>
              <w:t xml:space="preserve">  not object.get(input.context, key, false)</w:t>
            </w:r>
            <w:r>
              <w:br/>
            </w:r>
            <w:r>
              <w:rPr>
                <w:rFonts w:ascii="DejaVu Sans Mono" w:hAnsi="DejaVu Sans Mono"/>
                <w:sz w:val="13"/>
              </w:rPr>
              <w:t>}</w:t>
            </w:r>
            <w:r>
              <w:br/>
            </w:r>
            <w:r>
              <w:rPr>
                <w:rFonts w:ascii="DejaVu Sans Mono" w:hAnsi="DejaVu Sans Mono"/>
                <w:sz w:val="13"/>
              </w:rPr>
            </w:r>
            <w:r>
              <w:br/>
            </w:r>
            <w:r>
              <w:rPr>
                <w:rFonts w:ascii="DejaVu Sans Mono" w:hAnsi="DejaVu Sans Mono"/>
                <w:sz w:val="13"/>
              </w:rPr>
              <w:t>session_ok if {</w:t>
            </w:r>
            <w:r>
              <w:br/>
            </w:r>
            <w:r>
              <w:rPr>
                <w:rFonts w:ascii="DejaVu Sans Mono" w:hAnsi="DejaVu Sans Mono"/>
                <w:sz w:val="13"/>
              </w:rPr>
              <w:t xml:space="preserve">  input.agent.session_expiry_ns &gt; time.now_ns()</w:t>
            </w:r>
            <w:r>
              <w:br/>
            </w:r>
            <w:r>
              <w:rPr>
                <w:rFonts w:ascii="DejaVu Sans Mono" w:hAnsi="DejaVu Sans Mono"/>
                <w:sz w:val="13"/>
              </w:rPr>
              <w:t>}</w:t>
            </w:r>
            <w:r>
              <w:br/>
            </w:r>
            <w:r>
              <w:rPr>
                <w:rFonts w:ascii="DejaVu Sans Mono" w:hAnsi="DejaVu Sans Mono"/>
                <w:sz w:val="13"/>
              </w:rPr>
            </w:r>
            <w:r>
              <w:br/>
            </w:r>
            <w:r>
              <w:rPr>
                <w:rFonts w:ascii="DejaVu Sans Mono" w:hAnsi="DejaVu Sans Mono"/>
                <w:sz w:val="13"/>
              </w:rPr>
              <w:t>policy_version_ok if {</w:t>
            </w:r>
            <w:r>
              <w:br/>
            </w:r>
            <w:r>
              <w:rPr>
                <w:rFonts w:ascii="DejaVu Sans Mono" w:hAnsi="DejaVu Sans Mono"/>
                <w:sz w:val="13"/>
              </w:rPr>
              <w:t xml:space="preserve">  input.context.policy_version == data.policy.current_version</w:t>
            </w:r>
            <w:r>
              <w:br/>
            </w:r>
            <w:r>
              <w:rPr>
                <w:rFonts w:ascii="DejaVu Sans Mono" w:hAnsi="DejaVu Sans Mono"/>
                <w:sz w:val="13"/>
              </w:rPr>
              <w:t>}</w:t>
            </w:r>
            <w:r>
              <w:br/>
            </w:r>
            <w:r>
              <w:rPr>
                <w:rFonts w:ascii="DejaVu Sans Mono" w:hAnsi="DejaVu Sans Mono"/>
                <w:sz w:val="13"/>
              </w:rPr>
            </w:r>
            <w:r>
              <w:br/>
            </w:r>
            <w:r>
              <w:rPr>
                <w:rFonts w:ascii="DejaVu Sans Mono" w:hAnsi="DejaVu Sans Mono"/>
                <w:sz w:val="13"/>
              </w:rPr>
              <w:t>attestation_ok if {</w:t>
            </w:r>
            <w:r>
              <w:br/>
            </w:r>
            <w:r>
              <w:rPr>
                <w:rFonts w:ascii="DejaVu Sans Mono" w:hAnsi="DejaVu Sans Mono"/>
                <w:sz w:val="13"/>
              </w:rPr>
              <w:t xml:space="preserve">  input.agent.criticality in {"low", "medium"}</w:t>
            </w:r>
            <w:r>
              <w:br/>
            </w:r>
            <w:r>
              <w:rPr>
                <w:rFonts w:ascii="DejaVu Sans Mono" w:hAnsi="DejaVu Sans Mono"/>
                <w:sz w:val="13"/>
              </w:rPr>
              <w:t>}</w:t>
            </w:r>
            <w:r>
              <w:br/>
            </w:r>
            <w:r>
              <w:rPr>
                <w:rFonts w:ascii="DejaVu Sans Mono" w:hAnsi="DejaVu Sans Mono"/>
                <w:sz w:val="13"/>
              </w:rPr>
            </w:r>
            <w:r>
              <w:br/>
            </w:r>
            <w:r>
              <w:rPr>
                <w:rFonts w:ascii="DejaVu Sans Mono" w:hAnsi="DejaVu Sans Mono"/>
                <w:sz w:val="13"/>
              </w:rPr>
              <w:t>attestation_ok if {</w:t>
            </w:r>
            <w:r>
              <w:br/>
            </w:r>
            <w:r>
              <w:rPr>
                <w:rFonts w:ascii="DejaVu Sans Mono" w:hAnsi="DejaVu Sans Mono"/>
                <w:sz w:val="13"/>
              </w:rPr>
              <w:t xml:space="preserve">  input.agent.criticality in {"high", "critical"}</w:t>
            </w:r>
            <w:r>
              <w:br/>
            </w:r>
            <w:r>
              <w:rPr>
                <w:rFonts w:ascii="DejaVu Sans Mono" w:hAnsi="DejaVu Sans Mono"/>
                <w:sz w:val="13"/>
              </w:rPr>
              <w:t xml:space="preserve">  input.agent.attestation.status == "verified"</w:t>
            </w:r>
            <w:r>
              <w:br/>
            </w:r>
            <w:r>
              <w:rPr>
                <w:rFonts w:ascii="DejaVu Sans Mono" w:hAnsi="DejaVu Sans Mono"/>
                <w:sz w:val="13"/>
              </w:rPr>
              <w:t xml:space="preserve">  input.agent.attestation.image_digest == data.policy.allowed_images[input.agent.agent_id]</w:t>
            </w:r>
            <w:r>
              <w:br/>
            </w:r>
            <w:r>
              <w:rPr>
                <w:rFonts w:ascii="DejaVu Sans Mono" w:hAnsi="DejaVu Sans Mono"/>
                <w:sz w:val="13"/>
              </w:rPr>
              <w:t xml:space="preserve">  input.agent.attestation.verified_at_ns + data.policy.attestation_max_age_ns &gt; time.now_ns()</w:t>
            </w:r>
            <w:r>
              <w:br/>
            </w:r>
            <w:r>
              <w:rPr>
                <w:rFonts w:ascii="DejaVu Sans Mono" w:hAnsi="DejaVu Sans Mono"/>
                <w:sz w:val="13"/>
              </w:rPr>
              <w:t>}</w:t>
            </w:r>
            <w:r>
              <w:br/>
            </w:r>
            <w:r>
              <w:rPr>
                <w:rFonts w:ascii="DejaVu Sans Mono" w:hAnsi="DejaVu Sans Mono"/>
                <w:sz w:val="13"/>
              </w:rPr>
            </w:r>
            <w:r>
              <w:br/>
            </w:r>
            <w:r>
              <w:rPr>
                <w:rFonts w:ascii="DejaVu Sans Mono" w:hAnsi="DejaVu Sans Mono"/>
                <w:sz w:val="13"/>
              </w:rPr>
              <w:t>metadata_scope_ok if {</w:t>
            </w:r>
            <w:r>
              <w:br/>
            </w:r>
            <w:r>
              <w:rPr>
                <w:rFonts w:ascii="DejaVu Sans Mono" w:hAnsi="DejaVu Sans Mono"/>
                <w:sz w:val="13"/>
              </w:rPr>
              <w:t xml:space="preserve">  input.request.metadata.project_id == input.task.project_id</w:t>
            </w:r>
            <w:r>
              <w:br/>
            </w:r>
            <w:r>
              <w:rPr>
                <w:rFonts w:ascii="DejaVu Sans Mono" w:hAnsi="DejaVu Sans Mono"/>
                <w:sz w:val="13"/>
              </w:rPr>
              <w:t xml:space="preserve">  input.request.metadata.owner_id == input.task.owner_id</w:t>
            </w:r>
            <w:r>
              <w:br/>
            </w:r>
            <w:r>
              <w:rPr>
                <w:rFonts w:ascii="DejaVu Sans Mono" w:hAnsi="DejaVu Sans Mono"/>
                <w:sz w:val="13"/>
              </w:rPr>
              <w:t xml:space="preserve">  input.request.metadata.tenant_id == input.task.tenant_id</w:t>
            </w:r>
            <w:r>
              <w:br/>
            </w:r>
            <w:r>
              <w:rPr>
                <w:rFonts w:ascii="DejaVu Sans Mono" w:hAnsi="DejaVu Sans Mono"/>
                <w:sz w:val="13"/>
              </w:rPr>
              <w:t>}</w:t>
            </w:r>
            <w:r>
              <w:br/>
            </w:r>
            <w:r>
              <w:rPr>
                <w:rFonts w:ascii="DejaVu Sans Mono" w:hAnsi="DejaVu Sans Mono"/>
                <w:sz w:val="13"/>
              </w:rPr>
            </w:r>
            <w:r>
              <w:br/>
            </w:r>
            <w:r>
              <w:rPr>
                <w:rFonts w:ascii="DejaVu Sans Mono" w:hAnsi="DejaVu Sans Mono"/>
                <w:sz w:val="13"/>
              </w:rPr>
              <w:t>allowed_data_classes := object.get(data.policy.agents[input.agent.agent_id], "allowed_data_classes", [])</w:t>
            </w:r>
            <w:r>
              <w:br/>
            </w:r>
            <w:r>
              <w:rPr>
                <w:rFonts w:ascii="DejaVu Sans Mono" w:hAnsi="DejaVu Sans Mono"/>
                <w:sz w:val="13"/>
              </w:rPr>
              <w:t>requested_data_classes := object.get(input.request, "data_classes", [])</w:t>
            </w:r>
            <w:r>
              <w:br/>
            </w:r>
            <w:r>
              <w:rPr>
                <w:rFonts w:ascii="DejaVu Sans Mono" w:hAnsi="DejaVu Sans Mono"/>
                <w:sz w:val="13"/>
              </w:rPr>
            </w:r>
            <w:r>
              <w:br/>
            </w:r>
            <w:r>
              <w:rPr>
                <w:rFonts w:ascii="DejaVu Sans Mono" w:hAnsi="DejaVu Sans Mono"/>
                <w:sz w:val="13"/>
              </w:rPr>
              <w:t>data_classes_ok if {</w:t>
            </w:r>
            <w:r>
              <w:br/>
            </w:r>
            <w:r>
              <w:rPr>
                <w:rFonts w:ascii="DejaVu Sans Mono" w:hAnsi="DejaVu Sans Mono"/>
                <w:sz w:val="13"/>
              </w:rPr>
              <w:t xml:space="preserve">  every class in requested_data_classes {</w:t>
            </w:r>
            <w:r>
              <w:br/>
            </w:r>
            <w:r>
              <w:rPr>
                <w:rFonts w:ascii="DejaVu Sans Mono" w:hAnsi="DejaVu Sans Mono"/>
                <w:sz w:val="13"/>
              </w:rPr>
              <w:t xml:space="preserve">    class in allowed_data_classes</w:t>
            </w:r>
            <w:r>
              <w:br/>
            </w:r>
            <w:r>
              <w:rPr>
                <w:rFonts w:ascii="DejaVu Sans Mono" w:hAnsi="DejaVu Sans Mono"/>
                <w:sz w:val="13"/>
              </w:rPr>
              <w:t xml:space="preserve">  }</w:t>
            </w:r>
            <w:r>
              <w:br/>
            </w:r>
            <w:r>
              <w:rPr>
                <w:rFonts w:ascii="DejaVu Sans Mono" w:hAnsi="DejaVu Sans Mono"/>
                <w:sz w:val="13"/>
              </w:rPr>
              <w:t>}</w:t>
            </w:r>
            <w:r>
              <w:br/>
            </w:r>
            <w:r>
              <w:rPr>
                <w:rFonts w:ascii="DejaVu Sans Mono" w:hAnsi="DejaVu Sans Mono"/>
                <w:sz w:val="13"/>
              </w:rPr>
            </w:r>
            <w:r>
              <w:br/>
            </w:r>
            <w:r>
              <w:rPr>
                <w:rFonts w:ascii="DejaVu Sans Mono" w:hAnsi="DejaVu Sans Mono"/>
                <w:sz w:val="13"/>
              </w:rPr>
              <w:t>request_limits_ok if {</w:t>
            </w:r>
            <w:r>
              <w:br/>
            </w:r>
            <w:r>
              <w:rPr>
                <w:rFonts w:ascii="DejaVu Sans Mono" w:hAnsi="DejaVu Sans Mono"/>
                <w:sz w:val="13"/>
              </w:rPr>
              <w:t xml:space="preserve">  input.request.top_k &lt;= data.policy.rag.max_top_k</w:t>
            </w:r>
            <w:r>
              <w:br/>
            </w:r>
            <w:r>
              <w:rPr>
                <w:rFonts w:ascii="DejaVu Sans Mono" w:hAnsi="DejaVu Sans Mono"/>
                <w:sz w:val="13"/>
              </w:rPr>
              <w:t xml:space="preserve">  input.request.requested_tokens &lt;= data.policy.rag.max_tokens_per_request</w:t>
            </w:r>
            <w:r>
              <w:br/>
            </w:r>
            <w:r>
              <w:rPr>
                <w:rFonts w:ascii="DejaVu Sans Mono" w:hAnsi="DejaVu Sans Mono"/>
                <w:sz w:val="13"/>
              </w:rPr>
              <w:t>}</w:t>
            </w:r>
            <w:r>
              <w:br/>
            </w:r>
            <w:r>
              <w:rPr>
                <w:rFonts w:ascii="DejaVu Sans Mono" w:hAnsi="DejaVu Sans Mono"/>
                <w:sz w:val="13"/>
              </w:rPr>
            </w:r>
            <w:r>
              <w:br/>
            </w:r>
            <w:r>
              <w:rPr>
                <w:rFonts w:ascii="DejaVu Sans Mono" w:hAnsi="DejaVu Sans Mono"/>
                <w:sz w:val="13"/>
              </w:rPr>
              <w:t>task_budget_ok if {</w:t>
            </w:r>
            <w:r>
              <w:br/>
            </w:r>
            <w:r>
              <w:rPr>
                <w:rFonts w:ascii="DejaVu Sans Mono" w:hAnsi="DejaVu Sans Mono"/>
                <w:sz w:val="13"/>
              </w:rPr>
              <w:t xml:space="preserve">  input.usage.task_consumed_tokens + input.request.requested_tokens &lt;= data.policy.rag.max_tokens_per_task</w:t>
            </w:r>
            <w:r>
              <w:br/>
            </w:r>
            <w:r>
              <w:rPr>
                <w:rFonts w:ascii="DejaVu Sans Mono" w:hAnsi="DejaVu Sans Mono"/>
                <w:sz w:val="13"/>
              </w:rPr>
              <w:t>}</w:t>
            </w:r>
            <w:r>
              <w:br/>
            </w:r>
            <w:r>
              <w:rPr>
                <w:rFonts w:ascii="DejaVu Sans Mono" w:hAnsi="DejaVu Sans Mono"/>
                <w:sz w:val="13"/>
              </w:rPr>
            </w:r>
            <w:r>
              <w:br/>
            </w:r>
            <w:r>
              <w:rPr>
                <w:rFonts w:ascii="DejaVu Sans Mono" w:hAnsi="DejaVu Sans Mono"/>
                <w:sz w:val="13"/>
              </w:rPr>
              <w:t>tree_budget_ok if {</w:t>
            </w:r>
            <w:r>
              <w:br/>
            </w:r>
            <w:r>
              <w:rPr>
                <w:rFonts w:ascii="DejaVu Sans Mono" w:hAnsi="DejaVu Sans Mono"/>
                <w:sz w:val="13"/>
              </w:rPr>
              <w:t xml:space="preserve">  input.usage.tree_consumed_tokens + input.request.requested_tokens &lt;= data.policy.rag.max_tokens_per_agent_tree</w:t>
            </w:r>
            <w:r>
              <w:br/>
            </w:r>
            <w:r>
              <w:rPr>
                <w:rFonts w:ascii="DejaVu Sans Mono" w:hAnsi="DejaVu Sans Mono"/>
                <w:sz w:val="13"/>
              </w:rPr>
              <w:t>}</w:t>
            </w:r>
            <w:r>
              <w:br/>
            </w:r>
            <w:r>
              <w:rPr>
                <w:rFonts w:ascii="DejaVu Sans Mono" w:hAnsi="DejaVu Sans Mono"/>
                <w:sz w:val="13"/>
              </w:rPr>
            </w:r>
            <w:r>
              <w:br/>
            </w:r>
            <w:r>
              <w:rPr>
                <w:rFonts w:ascii="DejaVu Sans Mono" w:hAnsi="DejaVu Sans Mono"/>
                <w:sz w:val="13"/>
              </w:rPr>
              <w:t>request_rate_ok if {</w:t>
            </w:r>
            <w:r>
              <w:br/>
            </w:r>
            <w:r>
              <w:rPr>
                <w:rFonts w:ascii="DejaVu Sans Mono" w:hAnsi="DejaVu Sans Mono"/>
                <w:sz w:val="13"/>
              </w:rPr>
              <w:t xml:space="preserve">  input.usage.requests_last_minute &lt; data.policy.rag.max_requests_per_minute</w:t>
            </w:r>
            <w:r>
              <w:br/>
            </w:r>
            <w:r>
              <w:rPr>
                <w:rFonts w:ascii="DejaVu Sans Mono" w:hAnsi="DejaVu Sans Mono"/>
                <w:sz w:val="13"/>
              </w:rPr>
              <w:t>}</w:t>
            </w:r>
            <w:r>
              <w:br/>
            </w:r>
            <w:r>
              <w:rPr>
                <w:rFonts w:ascii="DejaVu Sans Mono" w:hAnsi="DejaVu Sans Mono"/>
                <w:sz w:val="13"/>
              </w:rPr>
            </w:r>
            <w:r>
              <w:br/>
            </w:r>
            <w:r>
              <w:rPr>
                <w:rFonts w:ascii="DejaVu Sans Mono" w:hAnsi="DejaVu Sans Mono"/>
                <w:sz w:val="13"/>
              </w:rPr>
              <w:t># Export control. Apply when the request causes data to leave the trusted retrieval boundary.</w:t>
            </w:r>
            <w:r>
              <w:br/>
            </w:r>
            <w:r>
              <w:rPr>
                <w:rFonts w:ascii="DejaVu Sans Mono" w:hAnsi="DejaVu Sans Mono"/>
                <w:sz w:val="13"/>
              </w:rPr>
              <w:t>destination_ok if {</w:t>
            </w:r>
            <w:r>
              <w:br/>
            </w:r>
            <w:r>
              <w:rPr>
                <w:rFonts w:ascii="DejaVu Sans Mono" w:hAnsi="DejaVu Sans Mono"/>
                <w:sz w:val="13"/>
              </w:rPr>
              <w:t xml:space="preserve">  not input.request.export</w:t>
            </w:r>
            <w:r>
              <w:br/>
            </w:r>
            <w:r>
              <w:rPr>
                <w:rFonts w:ascii="DejaVu Sans Mono" w:hAnsi="DejaVu Sans Mono"/>
                <w:sz w:val="13"/>
              </w:rPr>
              <w:t>}</w:t>
            </w:r>
            <w:r>
              <w:br/>
            </w:r>
            <w:r>
              <w:rPr>
                <w:rFonts w:ascii="DejaVu Sans Mono" w:hAnsi="DejaVu Sans Mono"/>
                <w:sz w:val="13"/>
              </w:rPr>
            </w:r>
            <w:r>
              <w:br/>
            </w:r>
            <w:r>
              <w:rPr>
                <w:rFonts w:ascii="DejaVu Sans Mono" w:hAnsi="DejaVu Sans Mono"/>
                <w:sz w:val="13"/>
              </w:rPr>
              <w:t>destination_ok if {</w:t>
            </w:r>
            <w:r>
              <w:br/>
            </w:r>
            <w:r>
              <w:rPr>
                <w:rFonts w:ascii="DejaVu Sans Mono" w:hAnsi="DejaVu Sans Mono"/>
                <w:sz w:val="13"/>
              </w:rPr>
              <w:t xml:space="preserve">  input.request.export</w:t>
            </w:r>
            <w:r>
              <w:br/>
            </w:r>
            <w:r>
              <w:rPr>
                <w:rFonts w:ascii="DejaVu Sans Mono" w:hAnsi="DejaVu Sans Mono"/>
                <w:sz w:val="13"/>
              </w:rPr>
              <w:t xml:space="preserve">  input.request.destination_domain in data.policy.export.allowed_domains</w:t>
            </w:r>
            <w:r>
              <w:br/>
            </w:r>
            <w:r>
              <w:rPr>
                <w:rFonts w:ascii="DejaVu Sans Mono" w:hAnsi="DejaVu Sans Mono"/>
                <w:sz w:val="13"/>
              </w:rPr>
              <w:t xml:space="preserve">  input.request.destination_region in data.policy.export.allowed_regions</w:t>
            </w:r>
            <w:r>
              <w:br/>
            </w:r>
            <w:r>
              <w:rPr>
                <w:rFonts w:ascii="DejaVu Sans Mono" w:hAnsi="DejaVu Sans Mono"/>
                <w:sz w:val="13"/>
              </w:rPr>
              <w:t xml:space="preserve">  input.request.export_bytes &lt;= data.policy.export.max_bytes_per_task - input.usage.task_exported_bytes</w:t>
            </w:r>
            <w:r>
              <w:br/>
            </w:r>
            <w:r>
              <w:rPr>
                <w:rFonts w:ascii="DejaVu Sans Mono" w:hAnsi="DejaVu Sans Mono"/>
                <w:sz w:val="13"/>
              </w:rPr>
              <w:t>}</w:t>
            </w:r>
            <w:r>
              <w:br/>
            </w:r>
            <w:r>
              <w:rPr>
                <w:rFonts w:ascii="DejaVu Sans Mono" w:hAnsi="DejaVu Sans Mono"/>
                <w:sz w:val="13"/>
              </w:rPr>
            </w:r>
            <w:r>
              <w:br/>
            </w:r>
            <w:r>
              <w:rPr>
                <w:rFonts w:ascii="DejaVu Sans Mono" w:hAnsi="DejaVu Sans Mono"/>
                <w:sz w:val="13"/>
              </w:rPr>
              <w:t># Child permissions must be a subset of the parent delegation scope.</w:t>
            </w:r>
            <w:r>
              <w:br/>
            </w:r>
            <w:r>
              <w:rPr>
                <w:rFonts w:ascii="DejaVu Sans Mono" w:hAnsi="DejaVu Sans Mono"/>
                <w:sz w:val="13"/>
              </w:rPr>
              <w:t>parent_scope_ok if {</w:t>
            </w:r>
            <w:r>
              <w:br/>
            </w:r>
            <w:r>
              <w:rPr>
                <w:rFonts w:ascii="DejaVu Sans Mono" w:hAnsi="DejaVu Sans Mono"/>
                <w:sz w:val="13"/>
              </w:rPr>
              <w:t xml:space="preserve">  not input.context.parent_agent_id</w:t>
            </w:r>
            <w:r>
              <w:br/>
            </w:r>
            <w:r>
              <w:rPr>
                <w:rFonts w:ascii="DejaVu Sans Mono" w:hAnsi="DejaVu Sans Mono"/>
                <w:sz w:val="13"/>
              </w:rPr>
              <w:t>}</w:t>
            </w:r>
            <w:r>
              <w:br/>
            </w:r>
            <w:r>
              <w:rPr>
                <w:rFonts w:ascii="DejaVu Sans Mono" w:hAnsi="DejaVu Sans Mono"/>
                <w:sz w:val="13"/>
              </w:rPr>
            </w:r>
            <w:r>
              <w:br/>
            </w:r>
            <w:r>
              <w:rPr>
                <w:rFonts w:ascii="DejaVu Sans Mono" w:hAnsi="DejaVu Sans Mono"/>
                <w:sz w:val="13"/>
              </w:rPr>
              <w:t>parent_scope_ok if {</w:t>
            </w:r>
            <w:r>
              <w:br/>
            </w:r>
            <w:r>
              <w:rPr>
                <w:rFonts w:ascii="DejaVu Sans Mono" w:hAnsi="DejaVu Sans Mono"/>
                <w:sz w:val="13"/>
              </w:rPr>
              <w:t xml:space="preserve">  input.context.parent_agent_id</w:t>
            </w:r>
            <w:r>
              <w:br/>
            </w:r>
            <w:r>
              <w:rPr>
                <w:rFonts w:ascii="DejaVu Sans Mono" w:hAnsi="DejaVu Sans Mono"/>
                <w:sz w:val="13"/>
              </w:rPr>
              <w:t xml:space="preserve">  every tool in input.request.requested_tools {</w:t>
            </w:r>
            <w:r>
              <w:br/>
            </w:r>
            <w:r>
              <w:rPr>
                <w:rFonts w:ascii="DejaVu Sans Mono" w:hAnsi="DejaVu Sans Mono"/>
                <w:sz w:val="13"/>
              </w:rPr>
              <w:t xml:space="preserve">    tool in input.delegation.parent_allowed_tools</w:t>
            </w:r>
            <w:r>
              <w:br/>
            </w:r>
            <w:r>
              <w:rPr>
                <w:rFonts w:ascii="DejaVu Sans Mono" w:hAnsi="DejaVu Sans Mono"/>
                <w:sz w:val="13"/>
              </w:rPr>
              <w:t xml:space="preserve">  }</w:t>
            </w:r>
            <w:r>
              <w:br/>
            </w:r>
            <w:r>
              <w:rPr>
                <w:rFonts w:ascii="DejaVu Sans Mono" w:hAnsi="DejaVu Sans Mono"/>
                <w:sz w:val="13"/>
              </w:rPr>
              <w:t xml:space="preserve">  every class in requested_data_classes {</w:t>
            </w:r>
            <w:r>
              <w:br/>
            </w:r>
            <w:r>
              <w:rPr>
                <w:rFonts w:ascii="DejaVu Sans Mono" w:hAnsi="DejaVu Sans Mono"/>
                <w:sz w:val="13"/>
              </w:rPr>
              <w:t xml:space="preserve">    class in input.delegation.parent_allowed_data_classes</w:t>
            </w:r>
            <w:r>
              <w:br/>
            </w:r>
            <w:r>
              <w:rPr>
                <w:rFonts w:ascii="DejaVu Sans Mono" w:hAnsi="DejaVu Sans Mono"/>
                <w:sz w:val="13"/>
              </w:rPr>
              <w:t xml:space="preserve">  }</w:t>
            </w:r>
            <w:r>
              <w:br/>
            </w:r>
            <w:r>
              <w:rPr>
                <w:rFonts w:ascii="DejaVu Sans Mono" w:hAnsi="DejaVu Sans Mono"/>
                <w:sz w:val="13"/>
              </w:rPr>
              <w:t xml:space="preserve">  input.request.requested_tokens &lt;= input.delegation.parent_remaining_token_budget</w:t>
            </w:r>
            <w:r>
              <w:br/>
            </w:r>
            <w:r>
              <w:rPr>
                <w:rFonts w:ascii="DejaVu Sans Mono" w:hAnsi="DejaVu Sans Mono"/>
                <w:sz w:val="13"/>
              </w:rPr>
              <w:t>}</w:t>
            </w:r>
            <w:r>
              <w:br/>
            </w:r>
            <w:r>
              <w:rPr>
                <w:rFonts w:ascii="DejaVu Sans Mono" w:hAnsi="DejaVu Sans Mono"/>
                <w:sz w:val="13"/>
              </w:rPr>
            </w:r>
            <w:r>
              <w:br/>
            </w:r>
            <w:r>
              <w:rPr>
                <w:rFonts w:ascii="DejaVu Sans Mono" w:hAnsi="DejaVu Sans Mono"/>
                <w:sz w:val="13"/>
              </w:rPr>
              <w:t>allow if {</w:t>
            </w:r>
            <w:r>
              <w:br/>
            </w:r>
            <w:r>
              <w:rPr>
                <w:rFonts w:ascii="DejaVu Sans Mono" w:hAnsi="DejaVu Sans Mono"/>
                <w:sz w:val="13"/>
              </w:rPr>
              <w:t xml:space="preserve">  count(missing_context) == 0</w:t>
            </w:r>
            <w:r>
              <w:br/>
            </w:r>
            <w:r>
              <w:rPr>
                <w:rFonts w:ascii="DejaVu Sans Mono" w:hAnsi="DejaVu Sans Mono"/>
                <w:sz w:val="13"/>
              </w:rPr>
              <w:t xml:space="preserve">  session_ok</w:t>
            </w:r>
            <w:r>
              <w:br/>
            </w:r>
            <w:r>
              <w:rPr>
                <w:rFonts w:ascii="DejaVu Sans Mono" w:hAnsi="DejaVu Sans Mono"/>
                <w:sz w:val="13"/>
              </w:rPr>
              <w:t xml:space="preserve">  policy_version_ok</w:t>
            </w:r>
            <w:r>
              <w:br/>
            </w:r>
            <w:r>
              <w:rPr>
                <w:rFonts w:ascii="DejaVu Sans Mono" w:hAnsi="DejaVu Sans Mono"/>
                <w:sz w:val="13"/>
              </w:rPr>
              <w:t xml:space="preserve">  attestation_ok</w:t>
            </w:r>
            <w:r>
              <w:br/>
            </w:r>
            <w:r>
              <w:rPr>
                <w:rFonts w:ascii="DejaVu Sans Mono" w:hAnsi="DejaVu Sans Mono"/>
                <w:sz w:val="13"/>
              </w:rPr>
              <w:t xml:space="preserve">  metadata_scope_ok</w:t>
            </w:r>
            <w:r>
              <w:br/>
            </w:r>
            <w:r>
              <w:rPr>
                <w:rFonts w:ascii="DejaVu Sans Mono" w:hAnsi="DejaVu Sans Mono"/>
                <w:sz w:val="13"/>
              </w:rPr>
              <w:t xml:space="preserve">  data_classes_ok</w:t>
            </w:r>
            <w:r>
              <w:br/>
            </w:r>
            <w:r>
              <w:rPr>
                <w:rFonts w:ascii="DejaVu Sans Mono" w:hAnsi="DejaVu Sans Mono"/>
                <w:sz w:val="13"/>
              </w:rPr>
              <w:t xml:space="preserve">  request_limits_ok</w:t>
            </w:r>
            <w:r>
              <w:br/>
            </w:r>
            <w:r>
              <w:rPr>
                <w:rFonts w:ascii="DejaVu Sans Mono" w:hAnsi="DejaVu Sans Mono"/>
                <w:sz w:val="13"/>
              </w:rPr>
              <w:t xml:space="preserve">  task_budget_ok</w:t>
            </w:r>
            <w:r>
              <w:br/>
            </w:r>
            <w:r>
              <w:rPr>
                <w:rFonts w:ascii="DejaVu Sans Mono" w:hAnsi="DejaVu Sans Mono"/>
                <w:sz w:val="13"/>
              </w:rPr>
              <w:t xml:space="preserve">  tree_budget_ok</w:t>
            </w:r>
            <w:r>
              <w:br/>
            </w:r>
            <w:r>
              <w:rPr>
                <w:rFonts w:ascii="DejaVu Sans Mono" w:hAnsi="DejaVu Sans Mono"/>
                <w:sz w:val="13"/>
              </w:rPr>
              <w:t xml:space="preserve">  request_rate_ok</w:t>
            </w:r>
            <w:r>
              <w:br/>
            </w:r>
            <w:r>
              <w:rPr>
                <w:rFonts w:ascii="DejaVu Sans Mono" w:hAnsi="DejaVu Sans Mono"/>
                <w:sz w:val="13"/>
              </w:rPr>
              <w:t xml:space="preserve">  destination_ok</w:t>
            </w:r>
            <w:r>
              <w:br/>
            </w:r>
            <w:r>
              <w:rPr>
                <w:rFonts w:ascii="DejaVu Sans Mono" w:hAnsi="DejaVu Sans Mono"/>
                <w:sz w:val="13"/>
              </w:rPr>
              <w:t xml:space="preserve">  parent_scope_ok</w:t>
            </w:r>
            <w:r>
              <w:br/>
            </w:r>
            <w:r>
              <w:rPr>
                <w:rFonts w:ascii="DejaVu Sans Mono" w:hAnsi="DejaVu Sans Mono"/>
                <w:sz w:val="13"/>
              </w:rPr>
              <w:t>}</w:t>
            </w:r>
            <w:r>
              <w:br/>
            </w:r>
            <w:r>
              <w:rPr>
                <w:rFonts w:ascii="DejaVu Sans Mono" w:hAnsi="DejaVu Sans Mono"/>
                <w:sz w:val="13"/>
              </w:rPr>
            </w:r>
            <w:r>
              <w:br/>
            </w:r>
            <w:r>
              <w:rPr>
                <w:rFonts w:ascii="DejaVu Sans Mono" w:hAnsi="DejaVu Sans Mono"/>
                <w:sz w:val="13"/>
              </w:rPr>
              <w:t>deny_reasons contains "missing_context" if count(missing_context) &gt; 0</w:t>
            </w:r>
            <w:r>
              <w:br/>
            </w:r>
            <w:r>
              <w:rPr>
                <w:rFonts w:ascii="DejaVu Sans Mono" w:hAnsi="DejaVu Sans Mono"/>
                <w:sz w:val="13"/>
              </w:rPr>
              <w:t>deny_reasons contains "session_expired" if not session_ok</w:t>
            </w:r>
            <w:r>
              <w:br/>
            </w:r>
            <w:r>
              <w:rPr>
                <w:rFonts w:ascii="DejaVu Sans Mono" w:hAnsi="DejaVu Sans Mono"/>
                <w:sz w:val="13"/>
              </w:rPr>
              <w:t>deny_reasons contains "policy_version_mismatch" if not policy_version_ok</w:t>
            </w:r>
            <w:r>
              <w:br/>
            </w:r>
            <w:r>
              <w:rPr>
                <w:rFonts w:ascii="DejaVu Sans Mono" w:hAnsi="DejaVu Sans Mono"/>
                <w:sz w:val="13"/>
              </w:rPr>
              <w:t>deny_reasons contains "attestation_failed" if not attestation_ok</w:t>
            </w:r>
            <w:r>
              <w:br/>
            </w:r>
            <w:r>
              <w:rPr>
                <w:rFonts w:ascii="DejaVu Sans Mono" w:hAnsi="DejaVu Sans Mono"/>
                <w:sz w:val="13"/>
              </w:rPr>
              <w:t>deny_reasons contains "metadata_scope_violation" if not metadata_scope_ok</w:t>
            </w:r>
            <w:r>
              <w:br/>
            </w:r>
            <w:r>
              <w:rPr>
                <w:rFonts w:ascii="DejaVu Sans Mono" w:hAnsi="DejaVu Sans Mono"/>
                <w:sz w:val="13"/>
              </w:rPr>
              <w:t>deny_reasons contains "data_class_violation" if not data_classes_ok</w:t>
            </w:r>
            <w:r>
              <w:br/>
            </w:r>
            <w:r>
              <w:rPr>
                <w:rFonts w:ascii="DejaVu Sans Mono" w:hAnsi="DejaVu Sans Mono"/>
                <w:sz w:val="13"/>
              </w:rPr>
              <w:t>deny_reasons contains "request_limit_exceeded" if not request_limits_ok</w:t>
            </w:r>
            <w:r>
              <w:br/>
            </w:r>
            <w:r>
              <w:rPr>
                <w:rFonts w:ascii="DejaVu Sans Mono" w:hAnsi="DejaVu Sans Mono"/>
                <w:sz w:val="13"/>
              </w:rPr>
              <w:t>deny_reasons contains "task_budget_exceeded" if not task_budget_ok</w:t>
            </w:r>
            <w:r>
              <w:br/>
            </w:r>
            <w:r>
              <w:rPr>
                <w:rFonts w:ascii="DejaVu Sans Mono" w:hAnsi="DejaVu Sans Mono"/>
                <w:sz w:val="13"/>
              </w:rPr>
              <w:t>deny_reasons contains "agent_tree_budget_exceeded" if not tree_budget_ok</w:t>
            </w:r>
            <w:r>
              <w:br/>
            </w:r>
            <w:r>
              <w:rPr>
                <w:rFonts w:ascii="DejaVu Sans Mono" w:hAnsi="DejaVu Sans Mono"/>
                <w:sz w:val="13"/>
              </w:rPr>
              <w:t>deny_reasons contains "request_rate_exceeded" if not request_rate_ok</w:t>
            </w:r>
            <w:r>
              <w:br/>
            </w:r>
            <w:r>
              <w:rPr>
                <w:rFonts w:ascii="DejaVu Sans Mono" w:hAnsi="DejaVu Sans Mono"/>
                <w:sz w:val="13"/>
              </w:rPr>
              <w:t>deny_reasons contains "destination_not_allowed" if not destination_ok</w:t>
            </w:r>
            <w:r>
              <w:br/>
            </w:r>
            <w:r>
              <w:rPr>
                <w:rFonts w:ascii="DejaVu Sans Mono" w:hAnsi="DejaVu Sans Mono"/>
                <w:sz w:val="13"/>
              </w:rPr>
              <w:t>deny_reasons contains "parent_scope_exceeded" if not parent_scope_ok</w:t>
            </w:r>
            <w:r>
              <w:br/>
            </w:r>
            <w:r>
              <w:rPr>
                <w:rFonts w:ascii="DejaVu Sans Mono" w:hAnsi="DejaVu Sans Mono"/>
                <w:sz w:val="13"/>
              </w:rPr>
            </w:r>
            <w:r>
              <w:br/>
            </w:r>
            <w:r>
              <w:rPr>
                <w:rFonts w:ascii="DejaVu Sans Mono" w:hAnsi="DejaVu Sans Mono"/>
                <w:sz w:val="13"/>
              </w:rPr>
              <w:t>response := {</w:t>
            </w:r>
            <w:r>
              <w:br/>
            </w:r>
            <w:r>
              <w:rPr>
                <w:rFonts w:ascii="DejaVu Sans Mono" w:hAnsi="DejaVu Sans Mono"/>
                <w:sz w:val="13"/>
              </w:rPr>
              <w:t xml:space="preserve">  "allow": allow,</w:t>
            </w:r>
            <w:r>
              <w:br/>
            </w:r>
            <w:r>
              <w:rPr>
                <w:rFonts w:ascii="DejaVu Sans Mono" w:hAnsi="DejaVu Sans Mono"/>
                <w:sz w:val="13"/>
              </w:rPr>
              <w:t xml:space="preserve">  "deny_reasons": sort([r | r := deny_reasons[_]]),</w:t>
            </w:r>
            <w:r>
              <w:br/>
            </w:r>
            <w:r>
              <w:rPr>
                <w:rFonts w:ascii="DejaVu Sans Mono" w:hAnsi="DejaVu Sans Mono"/>
                <w:sz w:val="13"/>
              </w:rPr>
              <w:t xml:space="preserve">  "policy_version": data.policy.current_version,</w:t>
            </w:r>
            <w:r>
              <w:br/>
            </w:r>
            <w:r>
              <w:rPr>
                <w:rFonts w:ascii="DejaVu Sans Mono" w:hAnsi="DejaVu Sans Mono"/>
                <w:sz w:val="13"/>
              </w:rPr>
              <w:t xml:space="preserve">  "decision_time_ns": time.now_ns(),</w:t>
            </w:r>
            <w:r>
              <w:br/>
            </w:r>
            <w:r>
              <w:rPr>
                <w:rFonts w:ascii="DejaVu Sans Mono" w:hAnsi="DejaVu Sans Mono"/>
                <w:sz w:val="13"/>
              </w:rPr>
              <w:t>}</w:t>
            </w:r>
          </w:p>
        </w:tc>
      </w:tr>
    </w:tbl>
    <w:p>
      <w:pPr>
        <w:pStyle w:val="Heading1"/>
      </w:pPr>
      <w:r>
        <w:t>Часть V. Тестирование стоп-критериев и dashboard</w:t>
      </w:r>
    </w:p>
    <w:p>
      <w:r>
        <w:t>Полный набор тест-кейсов и интерактивный шаблон dashboard поставляются отдельным XLSX. Каждый stop criterion имеет positive/negative test, expected result, evidence и owner. Dashboard показывает enforcement, attestation, budgets, attribution coverage, revocation, policy changes, waivers и incident response в реальном времени.</w:t>
      </w:r>
    </w:p>
    <w:p>
      <w:pPr>
        <w:pStyle w:val="Heading1"/>
      </w:pPr>
      <w:r>
        <w:t>Часть VI. Журнал инцидента prompt injection</w:t>
      </w:r>
    </w:p>
    <w:p>
      <w:r>
        <w:t>Отдельный шаблон v5 включает policy change after incident, расширенный root cause, слепые зоны, revoke/reissue, rollback RTO и closure criteria.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1736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