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2"/>
        </w:rPr>
        <w:t>Журнал инцидента prompt injection</w:t>
      </w:r>
    </w:p>
    <w:p>
      <w:pPr>
        <w:jc w:val="center"/>
      </w:pPr>
      <w:r>
        <w:rPr>
          <w:i/>
          <w:color w:val="505050"/>
          <w:sz w:val="20"/>
        </w:rPr>
        <w:t>Шаблон v5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F7"/>
          </w:tcPr>
          <w:p>
            <w:r>
              <w:rPr>
                <w:b/>
                <w:sz w:val="18"/>
              </w:rPr>
              <w:t>Для direct/indirect prompt injection, anomalous retrieval, tool abuse, privilege misuse и export attempts.</w:t>
            </w:r>
          </w:p>
        </w:tc>
      </w:tr>
    </w:tbl>
    <w:p>
      <w:pPr>
        <w:pStyle w:val="Heading2"/>
      </w:pPr>
      <w:r>
        <w:t>A. Идентификация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Incident ID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Дата/время UTC и local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Criticality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Agent / instance_id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Initiating user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Task/session/trace ID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p>
      <w:pPr>
        <w:pStyle w:val="Heading2"/>
      </w:pPr>
      <w:r>
        <w:t>B. Сценарий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Type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Source artifact/URI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Attacker-controlled content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Target/action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First anomalous event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p>
      <w:pPr>
        <w:pStyle w:val="Heading2"/>
      </w:pPr>
      <w:r>
        <w:t>C. Policy и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Policy version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PDP decision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PEP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Syslog/NetFlow/trace references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Retrieval/export volume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Triggered limits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Blind spots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p>
      <w:pPr>
        <w:pStyle w:val="Heading2"/>
      </w:pPr>
      <w:r>
        <w:t>D. Containment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Block time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New sessions stopped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Access revoked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Refresh revoked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Runtime re-attested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Policy changed after incident? If yes: version/change/approver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p>
      <w:pPr>
        <w:pStyle w:val="Heading2"/>
      </w:pPr>
      <w:r>
        <w:t>E.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Credentials reissued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Rights after reissue verified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Rollback/compensation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RTO target / actual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Irreversible effects and notifications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p>
      <w:pPr>
        <w:pStyle w:val="Heading2"/>
      </w:pPr>
      <w:r>
        <w:t>F. Root cause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Почему инцидент произошёл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Почему контроль не предотвратил или не обнаружил раньше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Policy/runtime/tool/RAG changes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Owner and due date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Retest result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p>
      <w:pPr>
        <w:pStyle w:val="Heading2"/>
      </w:pPr>
      <w:r>
        <w:t>G.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Old credentials invalid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New session uses current policy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Rollback/compensation completed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Blind spots eliminated or accepted as documented risk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Threat model/tests/runbook updated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Closure approver/date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