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2"/>
        </w:rPr>
        <w:t>Runbook оператора</w:t>
      </w:r>
    </w:p>
    <w:p>
      <w:pPr>
        <w:jc w:val="center"/>
      </w:pPr>
      <w:r>
        <w:rPr>
          <w:i/>
          <w:color w:val="505050"/>
          <w:sz w:val="20"/>
        </w:rPr>
        <w:t>ИИ-агент: prompt injection / anomalous tool call / data export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CE4D6"/>
          </w:tcPr>
          <w:p>
            <w:r>
              <w:rPr>
                <w:b/>
                <w:sz w:val="18"/>
              </w:rPr>
              <w:t>Цель: containment &lt; 60 секунд для critical scenario. Заполните реальные команды и URL до пилота.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7365D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3475"/>
            <w:shd w:fill="17365D"/>
          </w:tcPr>
          <w:p>
            <w:r>
              <w:rPr>
                <w:b/>
                <w:color w:val="FFFFFF"/>
                <w:sz w:val="16"/>
              </w:rPr>
              <w:t>Команда/этап</w:t>
            </w:r>
          </w:p>
        </w:tc>
        <w:tc>
          <w:tcPr>
            <w:tcW w:type="dxa" w:w="3475"/>
            <w:shd w:fill="17365D"/>
          </w:tcPr>
          <w:p>
            <w:r>
              <w:rPr>
                <w:b/>
                <w:color w:val="FFFFFF"/>
                <w:sz w:val="16"/>
              </w:rPr>
              <w:t>Действие и ожидаемый результат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Идентифицировать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agent_id, session_id, root_agent_id, task_id, trace_id, policy_version, criticality.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Заблокировать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PEP deny для session/agent; запретить новые sessions; при необходимости egress/network isolation.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Отозвать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Revoke access и refresh credentials; stop issuance.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Проверить revoke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Повторить запрос старым credential: ожидается deny. Проверить refresh flow: ожидается deny.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Проверить runtime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Повторная attestation image/runtime. Failure = агент остаётся заблокирован.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Проверить policy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Активная version; stale cache отсутствует; negative tool call блокируется.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Оценить ущерб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Tool calls, retrieval/export volume, changed objects, irreversible external effects.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Откатить/уведомить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Rollback/compensation в RTO; уведомить владельцев необратимых эффектов.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Восстановить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Reissue только после attestation, актуальной policy и scoped permissions.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Закрыть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Incident journal, evidence, blind spots, tests, policy audit, lessons learned.</w:t>
            </w:r>
          </w:p>
        </w:tc>
      </w:tr>
    </w:tbl>
    <w:p>
      <w:r>
        <w:t>Операционные ссылки: IAM __________ | PDP __________ | PEP __________ | SIEM __________ | Syslog/NetFlow __________ | On-call __________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