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Times New Roman" w:hAnsi="Times New Roman"/>
          <w:b w:val="0"/>
          <w:i w:val="0"/>
          <w:sz w:val="18"/>
          <w:rFonts w:ascii="Times New Roman" w:hAnsi="Times New Roman" w:cs="Times New Roman" w:eastAsia="Times New Roman"/>
        </w:rPr>
        <w:t>International Journal of Computer Information Systems and Industrial Management Applications</w:t>
      </w:r>
    </w:p>
    <w:p>
      <w:pPr>
        <w:spacing w:before="0" w:after="0" w:line="240" w:lineRule="auto"/>
      </w:pPr>
      <w:r>
        <w:rPr>
          <w:rFonts w:ascii="Times New Roman" w:hAnsi="Times New Roman"/>
          <w:b w:val="0"/>
          <w:i w:val="0"/>
          <w:sz w:val="18"/>
          <w:rFonts w:ascii="Times New Roman" w:hAnsi="Times New Roman" w:cs="Times New Roman" w:eastAsia="Times New Roman"/>
        </w:rPr>
        <w:t>ISSN 2150-7988 Volume 18 (2026)</w:t>
      </w:r>
    </w:p>
    <w:p>
      <w:pPr>
        <w:spacing w:before="0" w:after="120" w:line="240" w:lineRule="auto"/>
        <w:pBdr>
          <w:bottom w:val="single" w:sz="6" w:space="1" w:color="000000"/>
        </w:pBdr>
      </w:pPr>
      <w:r>
        <w:rPr>
          <w:rFonts w:ascii="Times New Roman" w:hAnsi="Times New Roman"/>
          <w:b w:val="0"/>
          <w:i w:val="0"/>
          <w:sz w:val="18"/>
          <w:rFonts w:ascii="Times New Roman" w:hAnsi="Times New Roman" w:cs="Times New Roman" w:eastAsia="Times New Roman"/>
        </w:rPr>
        <w:t>© Cerebration Science Publishing</w:t>
      </w:r>
    </w:p>
    <w:p>
      <w:pPr>
        <w:spacing w:before="120" w:after="240" w:line="240" w:lineRule="auto"/>
      </w:pPr>
      <w:r>
        <w:rPr>
          <w:rFonts w:ascii="Times New Roman" w:hAnsi="Times New Roman"/>
          <w:b w:val="0"/>
          <w:i w:val="0"/>
          <w:sz w:val="18"/>
          <w:rFonts w:ascii="Times New Roman" w:hAnsi="Times New Roman" w:cs="Times New Roman" w:eastAsia="Times New Roman"/>
        </w:rPr>
        <w:t>Article</w:t>
      </w:r>
    </w:p>
    <w:p>
      <w:pPr>
        <w:jc w:val="center"/>
        <w:spacing w:before="120" w:after="240" w:line="280" w:lineRule="auto"/>
      </w:pPr>
      <w:r>
        <w:rPr>
          <w:rFonts w:ascii="Times New Roman" w:hAnsi="Times New Roman"/>
          <w:b/>
          <w:i w:val="0"/>
          <w:sz w:val="36"/>
          <w:rFonts w:ascii="Times New Roman" w:hAnsi="Times New Roman" w:cs="Times New Roman" w:eastAsia="Times New Roman"/>
        </w:rPr>
        <w:t>Do Prompted Attribute Scores Measure Distinct Attributes? A Construct-Validity Screen for Language-Model Features in Decision-Support Systems</w:t>
      </w:r>
    </w:p>
    <w:p>
      <w:pPr>
        <w:jc w:val="center"/>
        <w:spacing w:before="120" w:after="160" w:line="240" w:lineRule="auto"/>
      </w:pPr>
      <w:r>
        <w:rPr>
          <w:rFonts w:ascii="Times New Roman" w:hAnsi="Times New Roman"/>
          <w:b/>
          <w:i w:val="0"/>
          <w:sz w:val="24"/>
          <w:rFonts w:ascii="Times New Roman" w:hAnsi="Times New Roman" w:cs="Times New Roman" w:eastAsia="Times New Roman"/>
        </w:rPr>
        <w:t>Anandkumar Pardeshi</w:t>
      </w:r>
      <w:r>
        <w:rPr>
          <w:rFonts w:ascii="Times New Roman" w:hAnsi="Times New Roman"/>
          <w:b/>
          <w:i w:val="0"/>
          <w:sz w:val="24"/>
          <w:vertAlign w:val="superscript"/>
          <w:rFonts w:ascii="Times New Roman" w:hAnsi="Times New Roman" w:cs="Times New Roman" w:eastAsia="Times New Roman"/>
        </w:rPr>
        <w:t xml:space="preserve"> 1,*</w:t>
      </w:r>
      <w:r>
        <w:rPr>
          <w:rFonts w:ascii="Times New Roman" w:hAnsi="Times New Roman"/>
          <w:b/>
          <w:i w:val="0"/>
          <w:sz w:val="24"/>
          <w:rFonts w:ascii="Times New Roman" w:hAnsi="Times New Roman" w:cs="Times New Roman" w:eastAsia="Times New Roman"/>
        </w:rPr>
        <w:t xml:space="preserve"> and </w:t>
      </w:r>
      <w:r>
        <w:rPr>
          <w:rFonts w:ascii="Times New Roman" w:hAnsi="Times New Roman"/>
          <w:b/>
          <w:i w:val="0"/>
          <w:sz w:val="24"/>
          <w:rFonts w:ascii="Times New Roman" w:hAnsi="Times New Roman" w:cs="Times New Roman" w:eastAsia="Times New Roman"/>
        </w:rPr>
        <w:t>Sujata Deshmukh</w:t>
      </w:r>
      <w:r>
        <w:rPr>
          <w:rFonts w:ascii="Times New Roman" w:hAnsi="Times New Roman"/>
          <w:b/>
          <w:i w:val="0"/>
          <w:sz w:val="24"/>
          <w:vertAlign w:val="superscript"/>
          <w:rFonts w:ascii="Times New Roman" w:hAnsi="Times New Roman" w:cs="Times New Roman" w:eastAsia="Times New Roman"/>
        </w:rPr>
        <w:t xml:space="preserve"> 2</w:t>
      </w:r>
    </w:p>
    <w:p>
      <w:pPr>
        <w:spacing w:before="0" w:after="0" w:line="240" w:lineRule="auto"/>
        <w:ind w:left="340" w:hanging="340"/>
      </w:pPr>
      <w:r>
        <w:rPr>
          <w:rFonts w:ascii="Times New Roman" w:hAnsi="Times New Roman"/>
          <w:b w:val="0"/>
          <w:i w:val="0"/>
          <w:sz w:val="18"/>
          <w:rFonts w:ascii="Times New Roman" w:hAnsi="Times New Roman" w:cs="Times New Roman" w:eastAsia="Times New Roman"/>
        </w:rPr>
        <w:t>1</w:t>
        <w:tab/>
      </w:r>
      <w:r>
        <w:rPr>
          <w:rFonts w:ascii="Times New Roman" w:hAnsi="Times New Roman"/>
          <w:b w:val="0"/>
          <w:i w:val="0"/>
          <w:sz w:val="18"/>
          <w:rFonts w:ascii="Times New Roman" w:hAnsi="Times New Roman" w:cs="Times New Roman" w:eastAsia="Times New Roman"/>
        </w:rPr>
        <w:t>Department of Computer Science and Engineering, Fr. C. Rodrigues Institute of Technology, University of Mumbai, Vashi, Navi Mumbai 400703, India; anand.pardeshi@fcrit.ac.in</w:t>
      </w:r>
    </w:p>
    <w:p>
      <w:pPr>
        <w:spacing w:before="0" w:after="0" w:line="240" w:lineRule="auto"/>
        <w:ind w:left="340" w:hanging="340"/>
      </w:pPr>
      <w:r>
        <w:rPr>
          <w:rFonts w:ascii="Times New Roman" w:hAnsi="Times New Roman"/>
          <w:b w:val="0"/>
          <w:i w:val="0"/>
          <w:sz w:val="18"/>
          <w:rFonts w:ascii="Times New Roman" w:hAnsi="Times New Roman" w:cs="Times New Roman" w:eastAsia="Times New Roman"/>
        </w:rPr>
        <w:t>2</w:t>
        <w:tab/>
      </w:r>
      <w:r>
        <w:rPr>
          <w:rFonts w:ascii="Times New Roman" w:hAnsi="Times New Roman"/>
          <w:b w:val="0"/>
          <w:i w:val="0"/>
          <w:sz w:val="18"/>
          <w:rFonts w:ascii="Times New Roman" w:hAnsi="Times New Roman" w:cs="Times New Roman" w:eastAsia="Times New Roman"/>
        </w:rPr>
        <w:t>Department of Computer Engineering, Fr. C. Rodrigues College of Engineering, University of Mumbai, Bandra, Mumbai 400050, India; sujata.deshmukh@fragnel.edu.in</w:t>
      </w:r>
    </w:p>
    <w:p>
      <w:pPr>
        <w:spacing w:before="0" w:after="200" w:line="240" w:lineRule="auto"/>
        <w:ind w:left="340" w:hanging="340"/>
      </w:pPr>
      <w:r>
        <w:rPr>
          <w:rFonts w:ascii="Times New Roman" w:hAnsi="Times New Roman"/>
          <w:b w:val="0"/>
          <w:i w:val="0"/>
          <w:sz w:val="18"/>
          <w:rFonts w:ascii="Times New Roman" w:hAnsi="Times New Roman" w:cs="Times New Roman" w:eastAsia="Times New Roman"/>
        </w:rPr>
        <w:t>*</w:t>
        <w:tab/>
      </w:r>
      <w:r>
        <w:rPr>
          <w:rFonts w:ascii="Times New Roman" w:hAnsi="Times New Roman"/>
          <w:b w:val="0"/>
          <w:i w:val="0"/>
          <w:sz w:val="18"/>
          <w:rFonts w:ascii="Times New Roman" w:hAnsi="Times New Roman" w:cs="Times New Roman" w:eastAsia="Times New Roman"/>
        </w:rPr>
        <w:t>Correspondence author: anand.pardeshi@fcrit.ac.in (A.P.)</w:t>
      </w:r>
    </w:p>
    <w:p>
      <w:pPr>
        <w:jc w:val="both"/>
        <w:spacing w:before="160" w:after="160" w:line="280" w:lineRule="auto"/>
      </w:pPr>
      <w:r>
        <w:rPr>
          <w:rFonts w:ascii="Times New Roman" w:hAnsi="Times New Roman"/>
          <w:b/>
          <w:i w:val="0"/>
          <w:sz w:val="20"/>
          <w:rFonts w:ascii="Times New Roman" w:hAnsi="Times New Roman" w:cs="Times New Roman" w:eastAsia="Times New Roman"/>
        </w:rPr>
        <w:t xml:space="preserve">Abstract: </w:t>
      </w:r>
      <w:r>
        <w:rPr>
          <w:rFonts w:ascii="Times New Roman" w:hAnsi="Times New Roman"/>
          <w:b w:val="0"/>
          <w:i w:val="0"/>
          <w:sz w:val="20"/>
          <w:rFonts w:ascii="Times New Roman" w:hAnsi="Times New Roman" w:cs="Times New Roman" w:eastAsia="Times New Roman"/>
        </w:rPr>
        <w:t>Decision-support systems increasingly obtain several conceptually distinct scores per document from a single large-language-model prompt and admit each score to the feature store as a separate variable. The controls such a pipeline already runs — schema, range, missingness, drift and reproducibility — are all passed by a score that is perfectly well formed and yet measures something other than its name, because a prompt has no source of record to check the value against. This paper proposes a construct-validity screen as a component acceptance test for prompted attributes, specifies it as a five-step procedure requiring no labelled data and no additional model calls, and reports what a real system lost by not running it. The component under study decomposes financial news into polarity, novelty and materiality and combines them multiplicatively, so that a stale or immaterial item is vetoed however extreme its tone; we also show that continuity, strict monotonicity and ratio-scale separability force that combiner into a Cobb-Douglas family whose exponents the axioms leave free. Over 134,037 headlines for 35 listed companies from 2010-01-05 to 2023-12-29, the screen fails. Novelty and materiality correlate at 0.871; only materiality tracks an external criterion, predicting absolute market-adjusted returns at t = 12.70, while novelty carries no staleness information beyond what materiality already carries and enters with the opposite sign. Two of the three attributes are one latent judgement reported twice. Every downstream result follows: freely estimated exponents place the materiality elasticity at zero, the gated aggregate predicts no better than plain or threshold-filtered polarity, and adding it to a walk-forward selective forecaster moves precision at fixed coverage by between -1.23 and +0.37 percentage points with every interval covering zero. That programme took 408 fitted objects; the screen took 3, and its verdict preceded all of them. Cross-vendor agreement on the failing attribute is also the lowest of the three (intraclass correlation 0.565 against 0.779 for polarity), so the same screen doubles as a portability test for a component a system owner may later have to re-source.</w:t>
      </w:r>
    </w:p>
    <w:p>
      <w:pPr>
        <w:jc w:val="both"/>
        <w:spacing w:before="80" w:after="200" w:line="240" w:lineRule="auto"/>
        <w:pBdr>
          <w:bottom w:val="single" w:sz="6" w:space="1" w:color="000000"/>
        </w:pBdr>
      </w:pPr>
      <w:r>
        <w:rPr>
          <w:rFonts w:ascii="Times New Roman" w:hAnsi="Times New Roman"/>
          <w:b/>
          <w:i w:val="0"/>
          <w:sz w:val="20"/>
          <w:rFonts w:ascii="Times New Roman" w:hAnsi="Times New Roman" w:cs="Times New Roman" w:eastAsia="Times New Roman"/>
        </w:rPr>
        <w:t xml:space="preserve">Keywords: </w:t>
      </w:r>
      <w:r>
        <w:rPr>
          <w:rFonts w:ascii="Times New Roman" w:hAnsi="Times New Roman"/>
          <w:b w:val="0"/>
          <w:i w:val="0"/>
          <w:sz w:val="20"/>
          <w:rFonts w:ascii="Times New Roman" w:hAnsi="Times New Roman" w:cs="Times New Roman" w:eastAsia="Times New Roman"/>
        </w:rPr>
        <w:t>construct validity; large language models; decision support systems; feature verification; data quality; selective prediction; text analytics</w:t>
      </w:r>
    </w:p>
    <w:p>
      <w:pPr>
        <w:spacing w:before="240" w:after="120" w:line="240" w:lineRule="auto"/>
      </w:pPr>
      <w:r>
        <w:rPr>
          <w:rFonts w:ascii="Times New Roman" w:hAnsi="Times New Roman"/>
          <w:b/>
          <w:i w:val="0"/>
          <w:sz w:val="24"/>
          <w:rFonts w:ascii="Times New Roman" w:hAnsi="Times New Roman" w:cs="Times New Roman" w:eastAsia="Times New Roman"/>
        </w:rPr>
        <w:t>1. Introduction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An instruction-tuned language model will answer as many questions about a document as a prompt cares to ask. One call can return the sentiment, the urgency and the credibility of a service ticket; the severity, the novelty and the confidence of a clinical note; or the tone, the freshness and the importance of a news item. Each answer arrives on the scale requested, in the format requested, and at a marginal cost close to zero. For an information system whose feature store is the asset that its models are built on, this is an unusually cheap source of supply, and it is being used.</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It is cheap in the wrong place. What fell is the cost of </w:t>
      </w:r>
      <w:r>
        <w:rPr>
          <w:rFonts w:ascii="Times New Roman" w:hAnsi="Times New Roman"/>
          <w:b w:val="0"/>
          <w:i/>
          <w:sz w:val="20"/>
          <w:rFonts w:ascii="Times New Roman" w:hAnsi="Times New Roman" w:cs="Times New Roman" w:eastAsia="Times New Roman"/>
        </w:rPr>
        <w:t>asking</w:t>
      </w:r>
      <w:r>
        <w:rPr>
          <w:rFonts w:ascii="Times New Roman" w:hAnsi="Times New Roman"/>
          <w:b w:val="0"/>
          <w:i w:val="0"/>
          <w:sz w:val="20"/>
          <w:rFonts w:ascii="Times New Roman" w:hAnsi="Times New Roman" w:cs="Times New Roman" w:eastAsia="Times New Roman"/>
        </w:rPr>
        <w:t>; the cost of being wrong about what came back did not move. A prompt that requests k attributes obtains k columns, but nothing in the mechanism guarantees k measurements. A model may reduce several requested attributes to one internal judgement and report that judgement k times under k labels, and the output carries no sign of it. The columns vary. They correlate imperfectly rather than perfectly. They respond sensibly to worked examples. If the calls are memoised, they reproduce exactly, byte for byte, on every re-run.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This matters for an information system specifically because of which controls it defeats. A production feature pipeline already validates schema, type, range, null rate, cardinality and distributional drift, and it already demands reproducibility [1, 2]. Every one of those controls passes on an attribute that measures the wrong construct: the schema is the one requested, the range is the one requested, nothing is missing, and nothing drifts. The classical information-quality dimensions — accuracy, completeness, timeliness, consistency, interpretability [3, 4] — are all defined relative to a source of record, and a prompted attribute has none. Its quality question is not whether the value is correct but whether the </w:t>
      </w:r>
      <w:r>
        <w:rPr>
          <w:rFonts w:ascii="Times New Roman" w:hAnsi="Times New Roman"/>
          <w:b w:val="0"/>
          <w:i/>
          <w:sz w:val="20"/>
          <w:rFonts w:ascii="Times New Roman" w:hAnsi="Times New Roman" w:cs="Times New Roman" w:eastAsia="Times New Roman"/>
        </w:rPr>
        <w:t>construct</w:t>
      </w:r>
      <w:r>
        <w:rPr>
          <w:rFonts w:ascii="Times New Roman" w:hAnsi="Times New Roman"/>
          <w:b w:val="0"/>
          <w:i w:val="0"/>
          <w:sz w:val="20"/>
          <w:rFonts w:ascii="Times New Roman" w:hAnsi="Times New Roman" w:cs="Times New Roman" w:eastAsia="Times New Roman"/>
        </w:rPr>
        <w:t xml:space="preserve"> it names exists as a separate thing inside the instrument that produced it.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Psychometrics has asked exactly that question for seventy years, under the headings of construct validity and of convergent and discriminant validation [5, 6]. This paper argues that the same test belongs in the acceptance criteria for any language-model scoring component admitted to a decision-support system, specifies a version of it a team can afford to run on every attribute, and measures what one real system lost by not running it first.</w:t>
      </w:r>
    </w:p>
    <w:p>
      <w:pPr>
        <w:spacing w:before="160" w:after="80" w:line="240" w:lineRule="auto"/>
      </w:pPr>
      <w:r>
        <w:rPr>
          <w:rFonts w:ascii="Times New Roman" w:hAnsi="Times New Roman"/>
          <w:b/>
          <w:i/>
          <w:sz w:val="22"/>
          <w:rFonts w:ascii="Times New Roman" w:hAnsi="Times New Roman" w:cs="Times New Roman" w:eastAsia="Times New Roman"/>
        </w:rPr>
        <w:t>1.1. The screen, in one paragraph</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For each attribute, name in advance an observable criterion that the attribute must track </w:t>
      </w:r>
      <w:r>
        <w:rPr>
          <w:rFonts w:ascii="Times New Roman" w:hAnsi="Times New Roman"/>
          <w:b w:val="0"/>
          <w:i/>
          <w:sz w:val="20"/>
          <w:rFonts w:ascii="Times New Roman" w:hAnsi="Times New Roman" w:cs="Times New Roman" w:eastAsia="Times New Roman"/>
        </w:rPr>
        <w:t>if</w:t>
      </w:r>
      <w:r>
        <w:rPr>
          <w:rFonts w:ascii="Times New Roman" w:hAnsi="Times New Roman"/>
          <w:b w:val="0"/>
          <w:i w:val="0"/>
          <w:sz w:val="20"/>
          <w:rFonts w:ascii="Times New Roman" w:hAnsi="Times New Roman" w:cs="Times New Roman" w:eastAsia="Times New Roman"/>
        </w:rPr>
        <w:t xml:space="preserve"> it measures what its label claims, and that the other attributes have no particular reason to track. Then test each attribute against its own criterion </w:t>
      </w:r>
      <w:r>
        <w:rPr>
          <w:rFonts w:ascii="Times New Roman" w:hAnsi="Times New Roman"/>
          <w:b/>
          <w:i w:val="0"/>
          <w:sz w:val="20"/>
          <w:rFonts w:ascii="Times New Roman" w:hAnsi="Times New Roman" w:cs="Times New Roman" w:eastAsia="Times New Roman"/>
        </w:rPr>
        <w:t>conditional on</w:t>
      </w:r>
      <w:r>
        <w:rPr>
          <w:rFonts w:ascii="Times New Roman" w:hAnsi="Times New Roman"/>
          <w:b w:val="0"/>
          <w:i w:val="0"/>
          <w:sz w:val="20"/>
          <w:rFonts w:ascii="Times New Roman" w:hAnsi="Times New Roman" w:cs="Times New Roman" w:eastAsia="Times New Roman"/>
        </w:rPr>
        <w:t xml:space="preserve"> the others. The conditioning is the whole design. When one latent judgement drives every attribute, each attribute shows a respectable </w:t>
      </w:r>
      <w:r>
        <w:rPr>
          <w:rFonts w:ascii="Times New Roman" w:hAnsi="Times New Roman"/>
          <w:b w:val="0"/>
          <w:i/>
          <w:sz w:val="20"/>
          <w:rFonts w:ascii="Times New Roman" w:hAnsi="Times New Roman" w:cs="Times New Roman" w:eastAsia="Times New Roman"/>
        </w:rPr>
        <w:t>marginal</w:t>
      </w:r>
      <w:r>
        <w:rPr>
          <w:rFonts w:ascii="Times New Roman" w:hAnsi="Times New Roman"/>
          <w:b w:val="0"/>
          <w:i w:val="0"/>
          <w:sz w:val="20"/>
          <w:rFonts w:ascii="Times New Roman" w:hAnsi="Times New Roman" w:cs="Times New Roman" w:eastAsia="Times New Roman"/>
        </w:rPr>
        <w:t xml:space="preserve"> association with every criterion — which is exactly the reassuring picture a correlation matrix gives — and only the conditional test reveals that none of them adds anything the others do not already supply.</w:t>
      </w:r>
    </w:p>
    <w:p>
      <w:pPr>
        <w:spacing w:before="160" w:after="80" w:line="240" w:lineRule="auto"/>
      </w:pPr>
      <w:r>
        <w:rPr>
          <w:rFonts w:ascii="Times New Roman" w:hAnsi="Times New Roman"/>
          <w:b/>
          <w:i/>
          <w:sz w:val="22"/>
          <w:rFonts w:ascii="Times New Roman" w:hAnsi="Times New Roman" w:cs="Times New Roman" w:eastAsia="Times New Roman"/>
        </w:rPr>
        <w:t>1.2. The case study and the cost of omission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component under study decomposes a news headline into three attributes — polarity, novelty and materiality — and multiplies them, so that a stale or immaterial item is suppressed however extreme its tone. We designed it, believed in it, deployed the surrounding system, and can therefore report against it without charity. We ran the screen and the full downstream modelling programme, in that order, on 134,037 headlines covering 35 listed companies. The screen fails, and every subsequent result is an unpacking of the same failure.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engineering version of the finding is a ratio. The downstream programme comprised 408 fitted objects: 21 predictive regressions, 12 nested horse-race coefficients, an exponent grid of 81 points at each of 3 horizons, 27 robustness re-estimations and 105 walk-forward selective forecasters. The screen comprised 3: two criterion regressions and one decile profile, computed from artefacts the project already held on disk. It required 0 additional calls to the scoring model. Its verdict was available before any of the 408 were run, and it implied all of them.</w:t>
      </w:r>
    </w:p>
    <w:p>
      <w:pPr>
        <w:spacing w:before="160" w:after="80" w:line="240" w:lineRule="auto"/>
      </w:pPr>
      <w:r>
        <w:rPr>
          <w:rFonts w:ascii="Times New Roman" w:hAnsi="Times New Roman"/>
          <w:b/>
          <w:i/>
          <w:sz w:val="22"/>
          <w:rFonts w:ascii="Times New Roman" w:hAnsi="Times New Roman" w:cs="Times New Roman" w:eastAsia="Times New Roman"/>
        </w:rPr>
        <w:t>1.3. Contributions</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(1)</w:t>
        <w:tab/>
      </w:r>
      <w:r>
        <w:rPr>
          <w:rFonts w:ascii="Times New Roman" w:hAnsi="Times New Roman"/>
          <w:b/>
          <w:i w:val="0"/>
          <w:sz w:val="20"/>
          <w:rFonts w:ascii="Times New Roman" w:hAnsi="Times New Roman" w:cs="Times New Roman" w:eastAsia="Times New Roman"/>
        </w:rPr>
        <w:t>A component acceptance test for prompted attributes</w:t>
      </w:r>
      <w:r>
        <w:rPr>
          <w:rFonts w:ascii="Times New Roman" w:hAnsi="Times New Roman"/>
          <w:b w:val="0"/>
          <w:i w:val="0"/>
          <w:sz w:val="20"/>
          <w:rFonts w:ascii="Times New Roman" w:hAnsi="Times New Roman" w:cs="Times New Roman" w:eastAsia="Times New Roman"/>
        </w:rPr>
        <w:t xml:space="preserve"> (Section 3.5), stated as a five-step procedure with the conditional test at its centre, together with the three properties — no labelled data, no additional model calls, no fitted model — that make it cheap enough to run on every attribute rather than on the ones somebody happens to doubt.</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(2)</w:t>
        <w:tab/>
      </w:r>
      <w:r>
        <w:rPr>
          <w:rFonts w:ascii="Times New Roman" w:hAnsi="Times New Roman"/>
          <w:b/>
          <w:i w:val="0"/>
          <w:sz w:val="20"/>
          <w:rFonts w:ascii="Times New Roman" w:hAnsi="Times New Roman" w:cs="Times New Roman" w:eastAsia="Times New Roman"/>
        </w:rPr>
        <w:t>Evidence that the failure mode is real, with a worked diagnosis</w:t>
      </w:r>
      <w:r>
        <w:rPr>
          <w:rFonts w:ascii="Times New Roman" w:hAnsi="Times New Roman"/>
          <w:b w:val="0"/>
          <w:i w:val="0"/>
          <w:sz w:val="20"/>
          <w:rFonts w:ascii="Times New Roman" w:hAnsi="Times New Roman" w:cs="Times New Roman" w:eastAsia="Times New Roman"/>
        </w:rPr>
        <w:t xml:space="preserve"> (Section 4.3). Novelty and materiality correlate at 0.871; under the screen, materiality predicts absolute market-adjusted returns at t = 12.70 while novelty adds nothing to the staleness criterion that materiality does not already supply, and enters absolute returns with the opposite sign.</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(3)</w:t>
        <w:tab/>
      </w:r>
      <w:r>
        <w:rPr>
          <w:rFonts w:ascii="Times New Roman" w:hAnsi="Times New Roman"/>
          <w:b/>
          <w:i w:val="0"/>
          <w:sz w:val="20"/>
          <w:rFonts w:ascii="Times New Roman" w:hAnsi="Times New Roman" w:cs="Times New Roman" w:eastAsia="Times New Roman"/>
        </w:rPr>
        <w:t>A measurement of the omission cost</w:t>
      </w:r>
      <w:r>
        <w:rPr>
          <w:rFonts w:ascii="Times New Roman" w:hAnsi="Times New Roman"/>
          <w:b w:val="0"/>
          <w:i w:val="0"/>
          <w:sz w:val="20"/>
          <w:rFonts w:ascii="Times New Roman" w:hAnsi="Times New Roman" w:cs="Times New Roman" w:eastAsia="Times New Roman"/>
        </w:rPr>
        <w:t xml:space="preserve"> (Sections 4.4 to 4.7 and Table 4), which turns the screen from good practice into an engineering decision with a number attached.</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(4)</w:t>
        <w:tab/>
      </w:r>
      <w:r>
        <w:rPr>
          <w:rFonts w:ascii="Times New Roman" w:hAnsi="Times New Roman"/>
          <w:b/>
          <w:i w:val="0"/>
          <w:sz w:val="20"/>
          <w:rFonts w:ascii="Times New Roman" w:hAnsi="Times New Roman" w:cs="Times New Roman" w:eastAsia="Times New Roman"/>
        </w:rPr>
        <w:t>A vendor-portability result for the same component</w:t>
      </w:r>
      <w:r>
        <w:rPr>
          <w:rFonts w:ascii="Times New Roman" w:hAnsi="Times New Roman"/>
          <w:b w:val="0"/>
          <w:i w:val="0"/>
          <w:sz w:val="20"/>
          <w:rFonts w:ascii="Times New Roman" w:hAnsi="Times New Roman" w:cs="Times New Roman" w:eastAsia="Times New Roman"/>
        </w:rPr>
        <w:t xml:space="preserve"> (Section 4.1). Rescoring a held-out subsample with a second vendor's model gives intraclass correlations of 0.779, 0.727 and 0.565 for polarity, materiality and novelty. The attribute that fails the validity screen is also the one two independent instruments agree on least, which matters to any system owner who may have to re-source the component.</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(5)</w:t>
        <w:tab/>
      </w:r>
      <w:r>
        <w:rPr>
          <w:rFonts w:ascii="Times New Roman" w:hAnsi="Times New Roman"/>
          <w:b/>
          <w:i w:val="0"/>
          <w:sz w:val="20"/>
          <w:rFonts w:ascii="Times New Roman" w:hAnsi="Times New Roman" w:cs="Times New Roman" w:eastAsia="Times New Roman"/>
        </w:rPr>
        <w:t>A characterisation of the design under test</w:t>
      </w:r>
      <w:r>
        <w:rPr>
          <w:rFonts w:ascii="Times New Roman" w:hAnsi="Times New Roman"/>
          <w:b w:val="0"/>
          <w:i w:val="0"/>
          <w:sz w:val="20"/>
          <w:rFonts w:ascii="Times New Roman" w:hAnsi="Times New Roman" w:cs="Times New Roman" w:eastAsia="Times New Roman"/>
        </w:rPr>
        <w:t xml:space="preserve"> (Section 3.2), including a veto bound and a representation theorem showing that continuity, strict monotonicity, sign fidelity and ratio-scale separability force the combiner into a Cobb-Douglas family whose exponents the axioms do not select — which is what makes the design falsifiable rather than definitional.</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(6)</w:t>
        <w:tab/>
      </w:r>
      <w:r>
        <w:rPr>
          <w:rFonts w:ascii="Times New Roman" w:hAnsi="Times New Roman"/>
          <w:b/>
          <w:i w:val="0"/>
          <w:sz w:val="20"/>
          <w:rFonts w:ascii="Times New Roman" w:hAnsi="Times New Roman" w:cs="Times New Roman" w:eastAsia="Times New Roman"/>
        </w:rPr>
        <w:t>Production evidence on calibration and abstention</w:t>
      </w:r>
      <w:r>
        <w:rPr>
          <w:rFonts w:ascii="Times New Roman" w:hAnsi="Times New Roman"/>
          <w:b w:val="0"/>
          <w:i w:val="0"/>
          <w:sz w:val="20"/>
          <w:rFonts w:ascii="Times New Roman" w:hAnsi="Times New Roman" w:cs="Times New Roman" w:eastAsia="Times New Roman"/>
        </w:rPr>
        <w:t xml:space="preserve"> (Section 4.8) from an append-only ledger of 621 resolved interval forecasts issued by the deployed system, including a diagnosed and repaired calibration failure that no monitor in the pipeline had noticed.</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rest of the paper is organised as follows. Section 2 reviews the related work. Section 3 describes the system under study, the data, the screen and the evaluation protocol. Section 4 reports the results. Section 5 discusses what the findings mean for the design and operation of decision-support systems that consume language-model features, and Section 6 concludes.</w:t>
      </w:r>
    </w:p>
    <w:p>
      <w:pPr>
        <w:spacing w:before="240" w:after="120" w:line="240" w:lineRule="auto"/>
      </w:pPr>
      <w:r>
        <w:rPr>
          <w:rFonts w:ascii="Times New Roman" w:hAnsi="Times New Roman"/>
          <w:b/>
          <w:i w:val="0"/>
          <w:sz w:val="24"/>
          <w:rFonts w:ascii="Times New Roman" w:hAnsi="Times New Roman" w:cs="Times New Roman" w:eastAsia="Times New Roman"/>
        </w:rPr>
        <w:t>2. Related Work</w:t>
      </w:r>
    </w:p>
    <w:p>
      <w:pPr>
        <w:spacing w:before="160" w:after="80" w:line="240" w:lineRule="auto"/>
      </w:pPr>
      <w:r>
        <w:rPr>
          <w:rFonts w:ascii="Times New Roman" w:hAnsi="Times New Roman"/>
          <w:b/>
          <w:i/>
          <w:sz w:val="22"/>
          <w:rFonts w:ascii="Times New Roman" w:hAnsi="Times New Roman" w:cs="Times New Roman" w:eastAsia="Times New Roman"/>
        </w:rPr>
        <w:t>2.1. Verifying machine-learned components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Information-quality research treats fitness for use as multi-dimensional, spanning accuracy, completeness, timeliness, consistency and interpretability [3, 4], and production machine-learning practice has operationalised those dimensions as tests that run in the pipeline: schema validation, training-serving skew detection, distributional monitoring and reproducibility checks [1, 2]. All of them presume that what a column </w:t>
      </w:r>
      <w:r>
        <w:rPr>
          <w:rFonts w:ascii="Times New Roman" w:hAnsi="Times New Roman"/>
          <w:b w:val="0"/>
          <w:i/>
          <w:sz w:val="20"/>
          <w:rFonts w:ascii="Times New Roman" w:hAnsi="Times New Roman" w:cs="Times New Roman" w:eastAsia="Times New Roman"/>
        </w:rPr>
        <w:t>denotes</w:t>
      </w:r>
      <w:r>
        <w:rPr>
          <w:rFonts w:ascii="Times New Roman" w:hAnsi="Times New Roman"/>
          <w:b w:val="0"/>
          <w:i w:val="0"/>
          <w:sz w:val="20"/>
          <w:rFonts w:ascii="Times New Roman" w:hAnsi="Times New Roman" w:cs="Times New Roman" w:eastAsia="Times New Roman"/>
        </w:rPr>
        <w:t xml:space="preserve"> is settled and only its values are in question. A prompted attribute inverts the presumption, which is why it needs a different test rather than a stricter version of the existing ones.</w:t>
      </w:r>
    </w:p>
    <w:p>
      <w:pPr>
        <w:spacing w:before="160" w:after="80" w:line="240" w:lineRule="auto"/>
      </w:pPr>
      <w:r>
        <w:rPr>
          <w:rFonts w:ascii="Times New Roman" w:hAnsi="Times New Roman"/>
          <w:b/>
          <w:i/>
          <w:sz w:val="22"/>
          <w:rFonts w:ascii="Times New Roman" w:hAnsi="Times New Roman" w:cs="Times New Roman" w:eastAsia="Times New Roman"/>
        </w:rPr>
        <w:t>2.2. Language models as measurement instruments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Instruction-tuned models return structured numeric judgements from rubric-style prompts [7], and applied fields have adopted them quickly, including for financial prediction [8] and for reading corporate policy [9]. Their self-reported confidence is imperfectly calibrated and is perceived by users as better than it is [10], which motivates a division of labour we adopt throughout: the model is never asked to forecast, only to </w:t>
      </w:r>
      <w:r>
        <w:rPr>
          <w:rFonts w:ascii="Times New Roman" w:hAnsi="Times New Roman"/>
          <w:b w:val="0"/>
          <w:i/>
          <w:sz w:val="20"/>
          <w:rFonts w:ascii="Times New Roman" w:hAnsi="Times New Roman" w:cs="Times New Roman" w:eastAsia="Times New Roman"/>
        </w:rPr>
        <w:t>decompose</w:t>
      </w:r>
      <w:r>
        <w:rPr>
          <w:rFonts w:ascii="Times New Roman" w:hAnsi="Times New Roman"/>
          <w:b w:val="0"/>
          <w:i w:val="0"/>
          <w:sz w:val="20"/>
          <w:rFonts w:ascii="Times New Roman" w:hAnsi="Times New Roman" w:cs="Times New Roman" w:eastAsia="Times New Roman"/>
        </w:rPr>
        <w:t xml:space="preserve"> an item along defined axes, and forecasting and uncertainty quantification are left to a separate stage that can be calibrated against outcomes. Reliability of such judgements — whether two runs, or two vendors, agree — is increasingly reported. Validity is not, and reliability does not imply it: an instrument can be perfectly consistent and consistently wrong.</w:t>
      </w:r>
    </w:p>
    <w:p>
      <w:pPr>
        <w:spacing w:before="160" w:after="80" w:line="240" w:lineRule="auto"/>
      </w:pPr>
      <w:r>
        <w:rPr>
          <w:rFonts w:ascii="Times New Roman" w:hAnsi="Times New Roman"/>
          <w:b/>
          <w:i/>
          <w:sz w:val="22"/>
          <w:rFonts w:ascii="Times New Roman" w:hAnsi="Times New Roman" w:cs="Times New Roman" w:eastAsia="Times New Roman"/>
        </w:rPr>
        <w:t>2.3. Relevance and novelty are established constructs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We make no claim to have discovered the attributes under test. Commercial news analytics have scored relevance and event novelty for well over a decade — vendor feeds routinely attach a relevance score, an event novelty score and an event sentiment score to each item, and a large empirical literature filters on those fields before running its tests. On the academic side the novelty axis has a canonical antecedent in Tetlock [11], who separates genuinely new stories from reprints of stale information and finds that investors react to the stale component; Boudoukh and co-authors [12] show that identifying which news is </w:t>
      </w:r>
      <w:r>
        <w:rPr>
          <w:rFonts w:ascii="Times New Roman" w:hAnsi="Times New Roman"/>
          <w:b w:val="0"/>
          <w:i/>
          <w:sz w:val="20"/>
          <w:rFonts w:ascii="Times New Roman" w:hAnsi="Times New Roman" w:cs="Times New Roman" w:eastAsia="Times New Roman"/>
        </w:rPr>
        <w:t>relevant</w:t>
      </w:r>
      <w:r>
        <w:rPr>
          <w:rFonts w:ascii="Times New Roman" w:hAnsi="Times New Roman"/>
          <w:b w:val="0"/>
          <w:i w:val="0"/>
          <w:sz w:val="20"/>
          <w:rFonts w:ascii="Times New Roman" w:hAnsi="Times New Roman" w:cs="Times New Roman" w:eastAsia="Times New Roman"/>
        </w:rPr>
        <w:t xml:space="preserve"> materially changes the measured information content of a news flow; Dang and co-authors [13] study commonality in news flow across markets; and Kelly and co-authors [14] treat which text gets written at all as an object of study. Hillert and co-authors [15] document how coverage intensity interacts with momentum, and DellaVigna and Pollet [16] show that identical information moves prices differently depending on when attention is available to receive it. What is new here is not the attributes but the question asked of them: whether a general-purpose model, prompted zero-shot under a published rubric, delivers them as </w:t>
      </w:r>
      <w:r>
        <w:rPr>
          <w:rFonts w:ascii="Times New Roman" w:hAnsi="Times New Roman"/>
          <w:b w:val="0"/>
          <w:i/>
          <w:sz w:val="20"/>
          <w:rFonts w:ascii="Times New Roman" w:hAnsi="Times New Roman" w:cs="Times New Roman" w:eastAsia="Times New Roman"/>
        </w:rPr>
        <w:t>separate</w:t>
      </w:r>
      <w:r>
        <w:rPr>
          <w:rFonts w:ascii="Times New Roman" w:hAnsi="Times New Roman"/>
          <w:b w:val="0"/>
          <w:i w:val="0"/>
          <w:sz w:val="20"/>
          <w:rFonts w:ascii="Times New Roman" w:hAnsi="Times New Roman" w:cs="Times New Roman" w:eastAsia="Times New Roman"/>
        </w:rPr>
        <w:t xml:space="preserve"> measurements, and what a system loses by assuming it does.</w:t>
      </w:r>
    </w:p>
    <w:p>
      <w:pPr>
        <w:spacing w:before="160" w:after="80" w:line="240" w:lineRule="auto"/>
      </w:pPr>
      <w:r>
        <w:rPr>
          <w:rFonts w:ascii="Times New Roman" w:hAnsi="Times New Roman"/>
          <w:b/>
          <w:i/>
          <w:sz w:val="22"/>
          <w:rFonts w:ascii="Times New Roman" w:hAnsi="Times New Roman" w:cs="Times New Roman" w:eastAsia="Times New Roman"/>
        </w:rPr>
        <w:t>2.4. Text analytics in financial decision support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application domain has a long empirical literature. Tetlock [17] linked pessimistic media tone to downward price pressure and subsequent reversal, and later work [18] showed that negative language in firm-specific news predicts fundamentals and returns. Antweiler and Frank [19] studied message boards; Loughran and McDonald [20] demonstrated that domain-specific word lists matter because general-purpose ones systematically mislabel domain terms, a point developed in their survey [21]; and Garcia [22] showed the effect of tone is state-dependent. Supervised and neural text models improve on dictionaries [23, 24], and machine learning is now standard in empirical asset pricing [25]. Across this literature the per-item output is a scalar tone; freshness and importance, when handled at all, are handled by ad hoc pre-filters. That convention is the baseline the component under study set out to beat, and Section 4.9 finds it hard to beat.</w:t>
      </w:r>
    </w:p>
    <w:p>
      <w:pPr>
        <w:spacing w:before="160" w:after="80" w:line="240" w:lineRule="auto"/>
      </w:pPr>
      <w:r>
        <w:rPr>
          <w:rFonts w:ascii="Times New Roman" w:hAnsi="Times New Roman"/>
          <w:b/>
          <w:i/>
          <w:sz w:val="22"/>
          <w:rFonts w:ascii="Times New Roman" w:hAnsi="Times New Roman" w:cs="Times New Roman" w:eastAsia="Times New Roman"/>
        </w:rPr>
        <w:t>2.5. Calibration and selective prediction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Modern classifiers are frequently miscalibrated [26]; the standard remedies are Platt scaling [27] and isotonic regression [28], assessed by expected calibration error and the Brier score [29]. Stacking [30] complicates this by creating more than one score distribution, a failure mode diagnosed and repaired in Section 3.8. Abstention is an old idea [31] with a modern theory [32, 33] and a distribution-free relative in conformal prediction [34]. Applied machine learning in this domain remains dominated by accuracy and area-under-the-curve reporting, which is fragile under backtest overfitting [35] and multiple testing [36, 37], and comparatively little of it reports whether the probabilities can be trusted.</w:t>
      </w:r>
    </w:p>
    <w:p>
      <w:pPr>
        <w:spacing w:before="240" w:after="120" w:line="240" w:lineRule="auto"/>
      </w:pPr>
      <w:r>
        <w:rPr>
          <w:rFonts w:ascii="Times New Roman" w:hAnsi="Times New Roman"/>
          <w:b/>
          <w:i w:val="0"/>
          <w:sz w:val="24"/>
          <w:rFonts w:ascii="Times New Roman" w:hAnsi="Times New Roman" w:cs="Times New Roman" w:eastAsia="Times New Roman"/>
        </w:rPr>
        <w:t>3. Materials and Methods</w:t>
      </w:r>
    </w:p>
    <w:p>
      <w:pPr>
        <w:spacing w:before="160" w:after="80" w:line="240" w:lineRule="auto"/>
      </w:pPr>
      <w:r>
        <w:rPr>
          <w:rFonts w:ascii="Times New Roman" w:hAnsi="Times New Roman"/>
          <w:b/>
          <w:i/>
          <w:sz w:val="22"/>
          <w:rFonts w:ascii="Times New Roman" w:hAnsi="Times New Roman" w:cs="Times New Roman" w:eastAsia="Times New Roman"/>
        </w:rPr>
        <w:t>3.1. The system under study</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component being verified does not stand alone. It sits in a five-stage decision-support pipeline that ingests timestamped news, scores it, aggregates it into a per-entity session feature, feeds that feature to a forecaster alongside price-derived features, and finally decides whether the resulting forecast is confident enough to act on. Table 1 names the stages, the artefact each produces and the control each already carries. Reading the table is the quickest way to see the gap this paper is about: every stage has an operational control, and none of them is a validity test.</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1. </w:t>
      </w:r>
      <w:r>
        <w:rPr>
          <w:rFonts w:ascii="Times New Roman" w:hAnsi="Times New Roman"/>
          <w:b w:val="0"/>
          <w:i w:val="0"/>
          <w:sz w:val="18"/>
          <w:rFonts w:ascii="Times New Roman" w:hAnsi="Times New Roman" w:cs="Times New Roman" w:eastAsia="Times New Roman"/>
        </w:rPr>
        <w:t>The decision-support pipeline the scoring component sits in, the artefact each stage produces, and the control the stage already carries. Stage 2 is the component under test; its existing control establishes reproducibility, which is a necessary but not a sufficient condition for the attribute to mean what it is named.</w:t>
      </w:r>
    </w:p>
    <w:tbl>
      <w:tblPr>
        <w:tblW w:type="auto" w:w="0"/>
        <w:jc w:val="center"/>
        <w:tblLayout w:type="fixed"/>
        <w:tblLook w:firstColumn="1" w:firstRow="1" w:lastColumn="0" w:lastRow="0" w:noHBand="0" w:noVBand="1" w:val="04A0"/>
        <w:tblLayout w:type="fixed"/>
      </w:tblPr>
      <w:tblGrid>
        <w:gridCol w:w="2835"/>
        <w:gridCol w:w="2835"/>
        <w:gridCol w:w="2835"/>
      </w:tblGrid>
      <w:tr>
        <w:tc>
          <w:tcPr>
            <w:tcW w:type="dxa" w:w="1701"/>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t>Stage</w:t>
            </w:r>
          </w:p>
        </w:tc>
        <w:tc>
          <w:tcPr>
            <w:tcW w:type="dxa" w:w="3232"/>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Artefact produced</w:t>
            </w:r>
          </w:p>
        </w:tc>
        <w:tc>
          <w:tcPr>
            <w:tcW w:type="dxa" w:w="3572"/>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Control already in place</w:t>
            </w:r>
          </w:p>
        </w:tc>
      </w:tr>
      <w:tr>
        <w:tc>
          <w:tcPr>
            <w:tcW w:type="dxa" w:w="1701"/>
          </w:tcPr>
          <w:p>
            <w:pPr>
              <w:jc w:val="left"/>
              <w:spacing w:before="20" w:after="20" w:line="240" w:lineRule="auto"/>
            </w:pPr>
            <w:r>
              <w:rPr>
                <w:rFonts w:ascii="Times New Roman" w:hAnsi="Times New Roman"/>
                <w:b w:val="0"/>
                <w:i w:val="0"/>
                <w:sz w:val="18"/>
                <w:rFonts w:ascii="Times New Roman" w:hAnsi="Times New Roman" w:cs="Times New Roman" w:eastAsia="Times New Roman"/>
              </w:rPr>
              <w:t>1. Ingest</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Timestamped headline keyed to an entity</w:t>
            </w:r>
          </w:p>
        </w:tc>
        <w:tc>
          <w:tcPr>
            <w:tcW w:type="dxa" w:w="3572"/>
          </w:tcPr>
          <w:p>
            <w:pPr>
              <w:jc w:val="left"/>
              <w:spacing w:before="20" w:after="20" w:line="240" w:lineRule="auto"/>
            </w:pPr>
            <w:r>
              <w:rPr>
                <w:rFonts w:ascii="Times New Roman" w:hAnsi="Times New Roman"/>
                <w:b w:val="0"/>
                <w:i w:val="0"/>
                <w:sz w:val="18"/>
                <w:rFonts w:ascii="Times New Roman" w:hAnsi="Times New Roman" w:cs="Times New Roman" w:eastAsia="Times New Roman"/>
              </w:rPr>
              <w:t>Session assignment fixed by a published timing rule</w:t>
            </w:r>
          </w:p>
        </w:tc>
      </w:tr>
      <w:tr>
        <w:tc>
          <w:tcPr>
            <w:tcW w:type="dxa" w:w="1701"/>
          </w:tcPr>
          <w:p>
            <w:pPr>
              <w:jc w:val="left"/>
              <w:spacing w:before="20" w:after="20" w:line="240" w:lineRule="auto"/>
            </w:pPr>
            <w:r>
              <w:rPr>
                <w:rFonts w:ascii="Times New Roman" w:hAnsi="Times New Roman"/>
                <w:b w:val="0"/>
                <w:i w:val="0"/>
                <w:sz w:val="18"/>
                <w:rFonts w:ascii="Times New Roman" w:hAnsi="Times New Roman" w:cs="Times New Roman" w:eastAsia="Times New Roman"/>
              </w:rPr>
              <w:t>2. Score</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Three attributes per headline</w:t>
            </w:r>
          </w:p>
        </w:tc>
        <w:tc>
          <w:tcPr>
            <w:tcW w:type="dxa" w:w="3572"/>
          </w:tcPr>
          <w:p>
            <w:pPr>
              <w:jc w:val="left"/>
              <w:spacing w:before="20" w:after="20" w:line="240" w:lineRule="auto"/>
            </w:pPr>
            <w:r>
              <w:rPr>
                <w:rFonts w:ascii="Times New Roman" w:hAnsi="Times New Roman"/>
                <w:b w:val="0"/>
                <w:i w:val="0"/>
                <w:sz w:val="18"/>
                <w:rFonts w:ascii="Times New Roman" w:hAnsi="Times New Roman" w:cs="Times New Roman" w:eastAsia="Times New Roman"/>
              </w:rPr>
              <w:t>Content-addressed memoisation; anchored rubric</w:t>
            </w:r>
          </w:p>
        </w:tc>
      </w:tr>
      <w:tr>
        <w:tc>
          <w:tcPr>
            <w:tcW w:type="dxa" w:w="1701"/>
          </w:tcPr>
          <w:p>
            <w:pPr>
              <w:jc w:val="left"/>
              <w:spacing w:before="20" w:after="20" w:line="240" w:lineRule="auto"/>
            </w:pPr>
            <w:r>
              <w:rPr>
                <w:rFonts w:ascii="Times New Roman" w:hAnsi="Times New Roman"/>
                <w:b w:val="0"/>
                <w:i w:val="0"/>
                <w:sz w:val="18"/>
                <w:rFonts w:ascii="Times New Roman" w:hAnsi="Times New Roman" w:cs="Times New Roman" w:eastAsia="Times New Roman"/>
              </w:rPr>
              <w:t>3. Aggregate</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One signal per entity-session</w:t>
            </w:r>
          </w:p>
        </w:tc>
        <w:tc>
          <w:tcPr>
            <w:tcW w:type="dxa" w:w="3572"/>
          </w:tcPr>
          <w:p>
            <w:pPr>
              <w:jc w:val="left"/>
              <w:spacing w:before="20" w:after="20" w:line="240" w:lineRule="auto"/>
            </w:pPr>
            <w:r>
              <w:rPr>
                <w:rFonts w:ascii="Times New Roman" w:hAnsi="Times New Roman"/>
                <w:b w:val="0"/>
                <w:i w:val="0"/>
                <w:sz w:val="18"/>
                <w:rFonts w:ascii="Times New Roman" w:hAnsi="Times New Roman" w:cs="Times New Roman" w:eastAsia="Times New Roman"/>
              </w:rPr>
              <w:t>Deterministic function of stage 2; range checked</w:t>
            </w:r>
          </w:p>
        </w:tc>
      </w:tr>
      <w:tr>
        <w:tc>
          <w:tcPr>
            <w:tcW w:type="dxa" w:w="1701"/>
          </w:tcPr>
          <w:p>
            <w:pPr>
              <w:jc w:val="left"/>
              <w:spacing w:before="20" w:after="20" w:line="240" w:lineRule="auto"/>
            </w:pPr>
            <w:r>
              <w:rPr>
                <w:rFonts w:ascii="Times New Roman" w:hAnsi="Times New Roman"/>
                <w:b w:val="0"/>
                <w:i w:val="0"/>
                <w:sz w:val="18"/>
                <w:rFonts w:ascii="Times New Roman" w:hAnsi="Times New Roman" w:cs="Times New Roman" w:eastAsia="Times New Roman"/>
              </w:rPr>
              <w:t>4. Forecast</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Point, interval and directional probability</w:t>
            </w:r>
          </w:p>
        </w:tc>
        <w:tc>
          <w:tcPr>
            <w:tcW w:type="dxa" w:w="3572"/>
          </w:tcPr>
          <w:p>
            <w:pPr>
              <w:jc w:val="left"/>
              <w:spacing w:before="20" w:after="20" w:line="240" w:lineRule="auto"/>
            </w:pPr>
            <w:r>
              <w:rPr>
                <w:rFonts w:ascii="Times New Roman" w:hAnsi="Times New Roman"/>
                <w:b w:val="0"/>
                <w:i w:val="0"/>
                <w:sz w:val="18"/>
                <w:rFonts w:ascii="Times New Roman" w:hAnsi="Times New Roman" w:cs="Times New Roman" w:eastAsia="Times New Roman"/>
              </w:rPr>
              <w:t>Walk-forward evaluation; no test-set selection</w:t>
            </w:r>
          </w:p>
        </w:tc>
      </w:tr>
      <w:tr>
        <w:tc>
          <w:tcPr>
            <w:tcW w:type="dxa" w:w="1701"/>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5. Decide</w:t>
            </w:r>
          </w:p>
        </w:tc>
        <w:tc>
          <w:tcPr>
            <w:tcW w:type="dxa" w:w="3232"/>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Act or abstain</w:t>
            </w:r>
          </w:p>
        </w:tc>
        <w:tc>
          <w:tcPr>
            <w:tcW w:type="dxa" w:w="3572"/>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Calibration scored against outcomes; fixed-coverage reporting</w:t>
            </w:r>
          </w:p>
        </w:tc>
      </w:tr>
    </w:tbl>
    <w:p>
      <w:pPr>
        <w:jc w:val="both"/>
        <w:spacing w:before="60" w:after="200" w:line="240" w:lineRule="auto"/>
      </w:pPr>
      <w:r>
        <w:rPr>
          <w:rFonts w:ascii="Times New Roman" w:hAnsi="Times New Roman"/>
          <w:b w:val="0"/>
          <w:i w:val="0"/>
          <w:sz w:val="18"/>
          <w:rFonts w:ascii="Times New Roman" w:hAnsi="Times New Roman" w:cs="Times New Roman" w:eastAsia="Times New Roman"/>
        </w:rPr>
        <w:t>No stage carries a construct-validity test. Stage 2 is verified to be repeatable and in range, which an attribute measuring the wrong construct also is.</w:t>
      </w:r>
    </w:p>
    <w:p>
      <w:pPr>
        <w:spacing w:before="160" w:after="80" w:line="240" w:lineRule="auto"/>
      </w:pPr>
      <w:r>
        <w:rPr>
          <w:rFonts w:ascii="Times New Roman" w:hAnsi="Times New Roman"/>
          <w:b/>
          <w:i/>
          <w:sz w:val="22"/>
          <w:rFonts w:ascii="Times New Roman" w:hAnsi="Times New Roman" w:cs="Times New Roman" w:eastAsia="Times New Roman"/>
        </w:rPr>
        <w:t>3.2. The multi-attribute scoring component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Let e denote a textual event — in this system, a news headline — concerning an entity, here a listed equity. The prompt requests three attributes: polarity s(e) in [-1, 1], the sign and size of the implied value change; novelty ν(e) in [0, 1], the surprise relative to what is already known; and materiality μ(e) in [0, 1], the sensitivity of fundamental value to the event, independent of sign and of freshness. The </w:t>
      </w:r>
      <w:r>
        <w:rPr>
          <w:rFonts w:ascii="Times New Roman" w:hAnsi="Times New Roman"/>
          <w:b w:val="0"/>
          <w:i/>
          <w:sz w:val="20"/>
          <w:rFonts w:ascii="Times New Roman" w:hAnsi="Times New Roman" w:cs="Times New Roman" w:eastAsia="Times New Roman"/>
        </w:rPr>
        <w:t>event signal</w:t>
      </w:r>
      <w:r>
        <w:rPr>
          <w:rFonts w:ascii="Times New Roman" w:hAnsi="Times New Roman"/>
          <w:b w:val="0"/>
          <w:i w:val="0"/>
          <w:sz w:val="20"/>
          <w:rFonts w:ascii="Times New Roman" w:hAnsi="Times New Roman" w:cs="Times New Roman" w:eastAsia="Times New Roman"/>
        </w:rPr>
        <w:t xml:space="preserve"> is their product,</w:t>
      </w:r>
    </w:p>
    <w:p>
      <w:pPr>
        <w:spacing w:before="120" w:after="120" w:line="240" w:lineRule="auto"/>
        <w:tabs>
          <w:tab w:val="center" w:pos="4200"/>
          <w:tab w:val="right" w:pos="8400"/>
        </w:tabs>
      </w:pPr>
      <w:r>
        <w:tab/>
      </w:r>
      <m:oMath>
        <m:r>
          <m:t xml:space="preserve">a</m:t>
        </m:r>
        <m:d>
          <m:dPr>
            <m:begChr m:val="("/>
            <m:endChr m:val=")"/>
          </m:dPr>
          <m:e>
            <m:r>
              <m:t xml:space="preserve">e</m:t>
            </m:r>
          </m:e>
        </m:d>
        <m:r>
          <m:rPr>
            <m:sty m:val="p"/>
          </m:rPr>
          <m:t xml:space="preserve"> = </m:t>
        </m:r>
        <m:r>
          <m:t xml:space="preserve">s</m:t>
        </m:r>
        <m:d>
          <m:dPr>
            <m:begChr m:val="("/>
            <m:endChr m:val=")"/>
          </m:dPr>
          <m:e>
            <m:r>
              <m:t xml:space="preserve">e</m:t>
            </m:r>
          </m:e>
        </m:d>
        <m:r>
          <m:t xml:space="preserve">ν</m:t>
        </m:r>
        <m:d>
          <m:dPr>
            <m:begChr m:val="("/>
            <m:endChr m:val=")"/>
          </m:dPr>
          <m:e>
            <m:r>
              <m:t xml:space="preserve">e</m:t>
            </m:r>
          </m:e>
        </m:d>
        <m:r>
          <m:t xml:space="preserve">μ</m:t>
        </m:r>
        <m:d>
          <m:dPr>
            <m:begChr m:val="("/>
            <m:endChr m:val=")"/>
          </m:dPr>
          <m:e>
            <m:r>
              <m:t xml:space="preserve">e</m:t>
            </m:r>
          </m:e>
        </m:d>
        <m:r>
          <m:rPr>
            <m:sty m:val="p"/>
          </m:rPr>
          <m:t xml:space="preserve"> ∈ </m:t>
        </m:r>
        <m:r>
          <m:rPr>
            <m:sty m:val="p"/>
          </m:rPr>
          <m:t xml:space="preserve">[−1, 1]</m:t>
        </m:r>
      </m:oMath>
      <w:r>
        <w:rPr>
          <w:rFonts w:ascii="Times New Roman" w:hAnsi="Times New Roman"/>
          <w:b w:val="0"/>
          <w:i w:val="0"/>
          <w:sz w:val="20"/>
          <w:rFonts w:ascii="Times New Roman" w:hAnsi="Times New Roman" w:cs="Times New Roman" w:eastAsia="Times New Roman"/>
        </w:rPr>
        <w:tab/>
        <w:t>(1)</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Writing </w:t>
      </w:r>
      <w:r>
        <w:rPr>
          <w:rFonts w:ascii="Times New Roman" w:hAnsi="Times New Roman"/>
          <w:b w:val="0"/>
          <w:i/>
          <w:sz w:val="20"/>
          <w:rFonts w:ascii="Times New Roman" w:hAnsi="Times New Roman" w:cs="Times New Roman" w:eastAsia="Times New Roman"/>
        </w:rPr>
        <w:t>relevance</w:t>
      </w:r>
      <w:r>
        <w:rPr>
          <w:rFonts w:ascii="Times New Roman" w:hAnsi="Times New Roman"/>
          <w:b w:val="0"/>
          <w:i w:val="0"/>
          <w:sz w:val="20"/>
          <w:rFonts w:ascii="Times New Roman" w:hAnsi="Times New Roman" w:cs="Times New Roman" w:eastAsia="Times New Roman"/>
        </w:rPr>
        <w:t xml:space="preserve"> as r(e) = ν(e)μ(e) gives a(e) = s(e)r(e). The reading is a first-order decomposition of an expected move into a direction, a sensitivity and a surprise magnitude; additive tone scoring retains only the first factor, which is why it responds to items that are loud but stale or cosmetic. Events touching one entity in one session are combined by a relevance-weighted mean over items clearing a materiality floor μ₀,</w:t>
      </w:r>
    </w:p>
    <w:p>
      <w:pPr>
        <w:spacing w:before="120" w:after="120" w:line="240" w:lineRule="auto"/>
        <w:tabs>
          <w:tab w:val="center" w:pos="4200"/>
          <w:tab w:val="right" w:pos="8400"/>
        </w:tabs>
      </w:pPr>
      <w:r>
        <w:tab/>
      </w:r>
      <m:oMath>
        <m:r>
          <m:t xml:space="preserve">A</m:t>
        </m:r>
        <m:r>
          <m:rPr>
            <m:sty m:val="p"/>
          </m:rPr>
          <m:t xml:space="preserve"> = </m:t>
        </m:r>
        <m:f>
          <m:fPr>
            <m:type m:val="bar"/>
          </m:fPr>
          <m:num>
            <m:nary>
              <m:naryPr>
                <m:chr m:val="∑"/>
                <m:limLoc m:val="undOvr"/>
              </m:naryPr>
              <m:sub>
                <m:r>
                  <m:t xml:space="preserve">e</m:t>
                </m:r>
              </m:sub>
              <m:sup/>
              <m:e>
                <m:sSup>
                  <m:e>
                    <m:r>
                      <m:t xml:space="preserve">r</m:t>
                    </m:r>
                    <m:d>
                      <m:dPr>
                        <m:begChr m:val="("/>
                        <m:endChr m:val=")"/>
                      </m:dPr>
                      <m:e>
                        <m:r>
                          <m:t xml:space="preserve">e</m:t>
                        </m:r>
                      </m:e>
                    </m:d>
                  </m:e>
                  <m:sup>
                    <m:r>
                      <m:rPr>
                        <m:sty m:val="p"/>
                      </m:rPr>
                      <m:t xml:space="preserve">2</m:t>
                    </m:r>
                  </m:sup>
                </m:sSup>
                <m:r>
                  <m:t xml:space="preserve">s</m:t>
                </m:r>
                <m:d>
                  <m:dPr>
                    <m:begChr m:val="("/>
                    <m:endChr m:val=")"/>
                  </m:dPr>
                  <m:e>
                    <m:r>
                      <m:t xml:space="preserve">e</m:t>
                    </m:r>
                  </m:e>
                </m:d>
              </m:e>
            </m:nary>
          </m:num>
          <m:den>
            <m:nary>
              <m:naryPr>
                <m:chr m:val="∑"/>
                <m:limLoc m:val="undOvr"/>
              </m:naryPr>
              <m:sub>
                <m:r>
                  <m:t xml:space="preserve">e</m:t>
                </m:r>
              </m:sub>
              <m:sup/>
              <m:e>
                <m:r>
                  <m:t xml:space="preserve">r</m:t>
                </m:r>
                <m:d>
                  <m:dPr>
                    <m:begChr m:val="("/>
                    <m:endChr m:val=")"/>
                  </m:dPr>
                  <m:e>
                    <m:r>
                      <m:t xml:space="preserve">e</m:t>
                    </m:r>
                  </m:e>
                </m:d>
              </m:e>
            </m:nary>
          </m:den>
        </m:f>
      </m:oMath>
      <w:r>
        <w:rPr>
          <w:rFonts w:ascii="Times New Roman" w:hAnsi="Times New Roman"/>
          <w:b w:val="0"/>
          <w:i w:val="0"/>
          <w:sz w:val="20"/>
          <w:rFonts w:ascii="Times New Roman" w:hAnsi="Times New Roman" w:cs="Times New Roman" w:eastAsia="Times New Roman"/>
        </w:rPr>
        <w:tab/>
        <w:t>(2)</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so that relevance enters twice, once inside the event signal and once as the weight, and a novel and material item dominates quadratically while routine chatter is suppressed. The floor is set to μ₀ = 0.15, the value the production system uses; Section 4.9 sweeps it.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Two properties of the product form are worth stating precisely, because they are what the design promises and what a reader is entitled to hold it to.</w:t>
      </w:r>
    </w:p>
    <w:p>
      <w:pPr>
        <w:spacing w:before="120" w:after="40" w:line="240" w:lineRule="auto"/>
        <w:ind w:firstLine="425"/>
      </w:pPr>
      <w:r>
        <w:rPr>
          <w:rFonts w:ascii="Times New Roman" w:hAnsi="Times New Roman"/>
          <w:b/>
          <w:i w:val="0"/>
          <w:sz w:val="20"/>
          <w:rFonts w:ascii="Times New Roman" w:hAnsi="Times New Roman" w:cs="Times New Roman" w:eastAsia="Times New Roman"/>
        </w:rPr>
        <w:t xml:space="preserve">Proposition 1 (Veto bound). </w:t>
      </w:r>
      <w:r>
        <w:rPr>
          <w:rFonts w:ascii="Times New Roman" w:hAnsi="Times New Roman"/>
          <w:b w:val="0"/>
          <w:i/>
          <w:sz w:val="20"/>
          <w:rFonts w:ascii="Times New Roman" w:hAnsi="Times New Roman" w:cs="Times New Roman" w:eastAsia="Times New Roman"/>
        </w:rPr>
        <w:t>For every event e, |a(e)| ≤ min{|s(e)|, ν(e), μ(e)}. In particular a(e) = 0 whenever any single factor is zero, and the aggregate of Eq. (2) satisfies |A| ≤ max|s(e)|.</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Proof.</w:t>
      </w:r>
      <w:r>
        <w:rPr>
          <w:rFonts w:ascii="Times New Roman" w:hAnsi="Times New Roman"/>
          <w:b w:val="0"/>
          <w:i w:val="0"/>
          <w:sz w:val="20"/>
          <w:rFonts w:ascii="Times New Roman" w:hAnsi="Times New Roman" w:cs="Times New Roman" w:eastAsia="Times New Roman"/>
        </w:rPr>
        <w:t xml:space="preserve"> Each factor has modulus at most one and ν, μ ≥ 0, so |a(e)| = |s(e)|ν(e)μ(e) is a product of three numbers of modulus at most one, which cannot exceed the modulus of any one of them; this gives the per-event bound and the zero case. For the aggregate, |A| is at most the ratio of Σ r(e)</w:t>
      </w:r>
      <w:r>
        <w:rPr>
          <w:rFonts w:ascii="Times New Roman" w:hAnsi="Times New Roman"/>
          <w:b w:val="0"/>
          <w:i w:val="0"/>
          <w:sz w:val="20"/>
          <w:vertAlign w:val="superscript"/>
          <w:rFonts w:ascii="Times New Roman" w:hAnsi="Times New Roman" w:cs="Times New Roman" w:eastAsia="Times New Roman"/>
        </w:rPr>
        <w:t>2</w:t>
      </w:r>
      <w:r>
        <w:rPr>
          <w:rFonts w:ascii="Times New Roman" w:hAnsi="Times New Roman"/>
          <w:b w:val="0"/>
          <w:i w:val="0"/>
          <w:sz w:val="20"/>
          <w:rFonts w:ascii="Times New Roman" w:hAnsi="Times New Roman" w:cs="Times New Roman" w:eastAsia="Times New Roman"/>
        </w:rPr>
        <w:t>|s(e)| to Σ r(e), which is at most max|s(e)| times the ratio of Σ r(e)</w:t>
      </w:r>
      <w:r>
        <w:rPr>
          <w:rFonts w:ascii="Times New Roman" w:hAnsi="Times New Roman"/>
          <w:b w:val="0"/>
          <w:i w:val="0"/>
          <w:sz w:val="20"/>
          <w:vertAlign w:val="superscript"/>
          <w:rFonts w:ascii="Times New Roman" w:hAnsi="Times New Roman" w:cs="Times New Roman" w:eastAsia="Times New Roman"/>
        </w:rPr>
        <w:t>2</w:t>
      </w:r>
      <w:r>
        <w:rPr>
          <w:rFonts w:ascii="Times New Roman" w:hAnsi="Times New Roman"/>
          <w:b w:val="0"/>
          <w:i w:val="0"/>
          <w:sz w:val="20"/>
          <w:rFonts w:ascii="Times New Roman" w:hAnsi="Times New Roman" w:cs="Times New Roman" w:eastAsia="Times New Roman"/>
        </w:rPr>
        <w:t xml:space="preserve"> to Σ r(e), and that ratio is at most one because every r(e) lies in [0, 1]. The weights are non-negative but sub-stochastic, so the aggregate contracts polarities toward zero and never amplifies them. ∎</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Proposition 1 is the formal content of the claim that a single weak factor vetoes an event: a stale or immaterial item is capped near zero whatever its tone. No additive combination has this property, since a weighted sum is generally nonzero when one term vanishes. The second question is why a product rather than any other veto-respecting form. An earlier version of this argument assumed that scaling any one attribute by λ scales the combiner by λ, which is close to assuming the conclusion. The statement below replaces that assumption with the standard conditions of conjoint measurement [38, 39, 40] together with the observation that each attribute is measured on a ratio scale.</w:t>
      </w:r>
    </w:p>
    <w:p>
      <w:pPr>
        <w:spacing w:before="120" w:after="40" w:line="240" w:lineRule="auto"/>
        <w:ind w:firstLine="425"/>
      </w:pPr>
      <w:r>
        <w:rPr>
          <w:rFonts w:ascii="Times New Roman" w:hAnsi="Times New Roman"/>
          <w:b/>
          <w:i w:val="0"/>
          <w:sz w:val="20"/>
          <w:rFonts w:ascii="Times New Roman" w:hAnsi="Times New Roman" w:cs="Times New Roman" w:eastAsia="Times New Roman"/>
        </w:rPr>
        <w:t xml:space="preserve">Proposition 2 (Representation). </w:t>
      </w:r>
      <w:r>
        <w:rPr>
          <w:rFonts w:ascii="Times New Roman" w:hAnsi="Times New Roman"/>
          <w:b w:val="0"/>
          <w:i/>
          <w:sz w:val="20"/>
          <w:rFonts w:ascii="Times New Roman" w:hAnsi="Times New Roman" w:cs="Times New Roman" w:eastAsia="Times New Roman"/>
        </w:rPr>
        <w:t>Let f map [-1, 1] × (0, 1] × (0, 1] into [-1, 1] and satisfy (A0) normalisation, f(1, 1, 1) = 1; (A1) sign fidelity, the sign of f is the sign of s; (A2) veto, f = 0 whenever any of |s|, ν, μ is zero; (A3) regularity, f is continuous and |f| is strictly increasing in each argument on the interior; and (A4′) ratio-scale separability, that for each argument there is a one-variable function h such that multiplying that argument by λ in (0, 1] multiplies |f| by h(λ) whatever the other two arguments are. Then there exist exponents α₀, α, β &gt; 0 with</w:t>
      </w:r>
    </w:p>
    <w:p>
      <w:pPr>
        <w:spacing w:before="120" w:after="120" w:line="240" w:lineRule="auto"/>
        <w:tabs>
          <w:tab w:val="center" w:pos="4200"/>
          <w:tab w:val="right" w:pos="8400"/>
        </w:tabs>
      </w:pPr>
      <w:r>
        <w:tab/>
      </w:r>
      <m:oMath>
        <m:r>
          <m:t xml:space="preserve">f</m:t>
        </m:r>
        <m:d>
          <m:dPr>
            <m:begChr m:val="("/>
            <m:endChr m:val=")"/>
          </m:dPr>
          <m:e>
            <m:r>
              <m:t xml:space="preserve">s</m:t>
            </m:r>
            <m:r>
              <m:rPr>
                <m:sty m:val="p"/>
              </m:rPr>
              <m:t xml:space="preserve">, </m:t>
            </m:r>
            <m:r>
              <m:t xml:space="preserve">ν</m:t>
            </m:r>
            <m:r>
              <m:rPr>
                <m:sty m:val="p"/>
              </m:rPr>
              <m:t xml:space="preserve">, </m:t>
            </m:r>
            <m:r>
              <m:t xml:space="preserve">μ</m:t>
            </m:r>
          </m:e>
        </m:d>
        <m:r>
          <m:rPr>
            <m:sty m:val="p"/>
          </m:rPr>
          <m:t xml:space="preserve"> = </m:t>
        </m:r>
        <m:r>
          <m:rPr>
            <m:sty m:val="p"/>
          </m:rPr>
          <m:t xml:space="preserve">sign</m:t>
        </m:r>
        <m:d>
          <m:dPr>
            <m:begChr m:val="("/>
            <m:endChr m:val=")"/>
          </m:dPr>
          <m:e>
            <m:r>
              <m:t xml:space="preserve">s</m:t>
            </m:r>
          </m:e>
        </m:d>
        <m:sSup>
          <m:e>
            <m:r>
              <m:rPr>
                <m:sty m:val="p"/>
              </m:rPr>
              <m:t xml:space="preserve">|</m:t>
            </m:r>
            <m:r>
              <m:t xml:space="preserve">s</m:t>
            </m:r>
            <m:r>
              <m:rPr>
                <m:sty m:val="p"/>
              </m:rPr>
              <m:t xml:space="preserve">|</m:t>
            </m:r>
          </m:e>
          <m:sup>
            <m:sSub>
              <m:e>
                <m:r>
                  <m:t xml:space="preserve">α</m:t>
                </m:r>
              </m:e>
              <m:sub>
                <m:r>
                  <m:rPr>
                    <m:sty m:val="p"/>
                  </m:rPr>
                  <m:t xml:space="preserve">0</m:t>
                </m:r>
              </m:sub>
            </m:sSub>
          </m:sup>
        </m:sSup>
        <m:sSup>
          <m:e>
            <m:r>
              <m:t xml:space="preserve">ν</m:t>
            </m:r>
          </m:e>
          <m:sup>
            <m:r>
              <m:t xml:space="preserve">α</m:t>
            </m:r>
          </m:sup>
        </m:sSup>
        <m:sSup>
          <m:e>
            <m:r>
              <m:t xml:space="preserve">μ</m:t>
            </m:r>
          </m:e>
          <m:sup>
            <m:r>
              <m:t xml:space="preserve">β</m:t>
            </m:r>
          </m:sup>
        </m:sSup>
      </m:oMath>
      <w:r>
        <w:rPr>
          <w:rFonts w:ascii="Times New Roman" w:hAnsi="Times New Roman"/>
          <w:b w:val="0"/>
          <w:i w:val="0"/>
          <w:sz w:val="20"/>
          <w:rFonts w:ascii="Times New Roman" w:hAnsi="Times New Roman" w:cs="Times New Roman" w:eastAsia="Times New Roman"/>
        </w:rPr>
        <w:tab/>
        <w:t>(3)</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Proof sketch.</w:t>
      </w:r>
      <w:r>
        <w:rPr>
          <w:rFonts w:ascii="Times New Roman" w:hAnsi="Times New Roman"/>
          <w:b w:val="0"/>
          <w:i w:val="0"/>
          <w:sz w:val="20"/>
          <w:rFonts w:ascii="Times New Roman" w:hAnsi="Times New Roman" w:cs="Times New Roman" w:eastAsia="Times New Roman"/>
        </w:rPr>
        <w:t xml:space="preserve"> Work on the positive orthant and write F = |f|. Fixing the second and third arguments, (A4′) gives F(λx, ν, μ) = h₀(λ)F(x, ν, μ). Applying it twice shows that h₀ satisfies the multiplicative Cauchy equation, and by (A3) it is continuous and positive, so its only solutions are the power functions [41], with a strictly positive exponent because F is strictly increasing. Setting x = 1 and repeating the argument for the remaining two arguments yields Eq. (3), with (A0) fixing the constant and (A1) restoring the sign. Continuity extends the representation to the closed domain, where (A2) is automatic because all three exponents are strictly positive. ∎</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proposition delivers the </w:t>
      </w:r>
      <w:r>
        <w:rPr>
          <w:rFonts w:ascii="Times New Roman" w:hAnsi="Times New Roman"/>
          <w:b/>
          <w:i w:val="0"/>
          <w:sz w:val="20"/>
          <w:rFonts w:ascii="Times New Roman" w:hAnsi="Times New Roman" w:cs="Times New Roman" w:eastAsia="Times New Roman"/>
        </w:rPr>
        <w:t>family</w:t>
      </w:r>
      <w:r>
        <w:rPr>
          <w:rFonts w:ascii="Times New Roman" w:hAnsi="Times New Roman"/>
          <w:b w:val="0"/>
          <w:i w:val="0"/>
          <w:sz w:val="20"/>
          <w:rFonts w:ascii="Times New Roman" w:hAnsi="Times New Roman" w:cs="Times New Roman" w:eastAsia="Times New Roman"/>
        </w:rPr>
        <w:t>, not a member of it. Eq. (1) is the special case in which all three exponents equal one, and nothing in (A0) to (A4′) selects it. This is deliberate: the axioms assert that the three attributes act on separate multiplicative scales and cannot compensate for one another, which is the substantive claim, while the elasticities with which they act are an empirical matter that Section 4.6 estimates. Proposition 1 survives for every member of the family in the weaker form |f| ≤ min{|s|</w:t>
      </w:r>
      <w:r>
        <w:rPr>
          <w:rFonts w:ascii="Times New Roman" w:hAnsi="Times New Roman"/>
          <w:b w:val="0"/>
          <w:i w:val="0"/>
          <w:sz w:val="20"/>
          <w:vertAlign w:val="superscript"/>
          <w:rFonts w:ascii="Times New Roman" w:hAnsi="Times New Roman" w:cs="Times New Roman" w:eastAsia="Times New Roman"/>
        </w:rPr>
        <w:t>α₀</w:t>
      </w:r>
      <w:r>
        <w:rPr>
          <w:rFonts w:ascii="Times New Roman" w:hAnsi="Times New Roman"/>
          <w:b w:val="0"/>
          <w:i w:val="0"/>
          <w:sz w:val="20"/>
          <w:rFonts w:ascii="Times New Roman" w:hAnsi="Times New Roman" w:cs="Times New Roman" w:eastAsia="Times New Roman"/>
        </w:rPr>
        <w:t>, ν</w:t>
      </w:r>
      <w:r>
        <w:rPr>
          <w:rFonts w:ascii="Times New Roman" w:hAnsi="Times New Roman"/>
          <w:b w:val="0"/>
          <w:i w:val="0"/>
          <w:sz w:val="20"/>
          <w:vertAlign w:val="superscript"/>
          <w:rFonts w:ascii="Times New Roman" w:hAnsi="Times New Roman" w:cs="Times New Roman" w:eastAsia="Times New Roman"/>
        </w:rPr>
        <w:t>α</w:t>
      </w:r>
      <w:r>
        <w:rPr>
          <w:rFonts w:ascii="Times New Roman" w:hAnsi="Times New Roman"/>
          <w:b w:val="0"/>
          <w:i w:val="0"/>
          <w:sz w:val="20"/>
          <w:rFonts w:ascii="Times New Roman" w:hAnsi="Times New Roman" w:cs="Times New Roman" w:eastAsia="Times New Roman"/>
        </w:rPr>
        <w:t>, μ</w:t>
      </w:r>
      <w:r>
        <w:rPr>
          <w:rFonts w:ascii="Times New Roman" w:hAnsi="Times New Roman"/>
          <w:b w:val="0"/>
          <w:i w:val="0"/>
          <w:sz w:val="20"/>
          <w:vertAlign w:val="superscript"/>
          <w:rFonts w:ascii="Times New Roman" w:hAnsi="Times New Roman" w:cs="Times New Roman" w:eastAsia="Times New Roman"/>
        </w:rPr>
        <w:t>β</w:t>
      </w:r>
      <w:r>
        <w:rPr>
          <w:rFonts w:ascii="Times New Roman" w:hAnsi="Times New Roman"/>
          <w:b w:val="0"/>
          <w:i w:val="0"/>
          <w:sz w:val="20"/>
          <w:rFonts w:ascii="Times New Roman" w:hAnsi="Times New Roman" w:cs="Times New Roman" w:eastAsia="Times New Roman"/>
        </w:rPr>
        <w:t>}, so the veto holds whatever the exponents turn out to be.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design has one silent prerequisite, and the rest of this paper is about it. A product of three gates behaves like a product of three gates only if there </w:t>
      </w:r>
      <w:r>
        <w:rPr>
          <w:rFonts w:ascii="Times New Roman" w:hAnsi="Times New Roman"/>
          <w:b/>
          <w:i w:val="0"/>
          <w:sz w:val="20"/>
          <w:rFonts w:ascii="Times New Roman" w:hAnsi="Times New Roman" w:cs="Times New Roman" w:eastAsia="Times New Roman"/>
        </w:rPr>
        <w:t>are</w:t>
      </w:r>
      <w:r>
        <w:rPr>
          <w:rFonts w:ascii="Times New Roman" w:hAnsi="Times New Roman"/>
          <w:b w:val="0"/>
          <w:i w:val="0"/>
          <w:sz w:val="20"/>
          <w:rFonts w:ascii="Times New Roman" w:hAnsi="Times New Roman" w:cs="Times New Roman" w:eastAsia="Times New Roman"/>
        </w:rPr>
        <w:t xml:space="preserve"> three gates. If two of the attributes are one attribute wearing two labels, the second gate cannot bind where the first does not, the exponents are not separately identified, and the component degenerates without any warning appearing in its output.</w:t>
      </w:r>
    </w:p>
    <w:p>
      <w:pPr>
        <w:spacing w:before="160" w:after="80" w:line="240" w:lineRule="auto"/>
      </w:pPr>
      <w:r>
        <w:rPr>
          <w:rFonts w:ascii="Times New Roman" w:hAnsi="Times New Roman"/>
          <w:b/>
          <w:i/>
          <w:sz w:val="22"/>
          <w:rFonts w:ascii="Times New Roman" w:hAnsi="Times New Roman" w:cs="Times New Roman" w:eastAsia="Times New Roman"/>
        </w:rPr>
        <w:t>3.3. Data</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study draws on two datasets that answer different questions and are never used to support a claim about each other; Table 2 sets them side by side.</w:t>
      </w:r>
    </w:p>
    <w:p>
      <w:pPr>
        <w:ind w:firstLine="425"/>
        <w:jc w:val="both"/>
        <w:spacing w:before="0" w:after="0" w:line="240" w:lineRule="auto"/>
      </w:pPr>
      <w:r>
        <w:rPr>
          <w:rFonts w:ascii="Times New Roman" w:hAnsi="Times New Roman"/>
          <w:b/>
          <w:i w:val="0"/>
          <w:sz w:val="20"/>
          <w:rFonts w:ascii="Times New Roman" w:hAnsi="Times New Roman" w:cs="Times New Roman" w:eastAsia="Times New Roman"/>
        </w:rPr>
        <w:t>A large historical news panel.</w:t>
      </w:r>
      <w:r>
        <w:rPr>
          <w:rFonts w:ascii="Times New Roman" w:hAnsi="Times New Roman"/>
          <w:b w:val="0"/>
          <w:i w:val="0"/>
          <w:sz w:val="20"/>
          <w:rFonts w:ascii="Times New Roman" w:hAnsi="Times New Roman" w:cs="Times New Roman" w:eastAsia="Times New Roman"/>
        </w:rPr>
        <w:t xml:space="preserve"> Testing the decomposition needs a long panel with dense per-item news and clean prices. We use FNSPID [42], a public corpus of time-stamped financial news headlines keyed to tickers. From the symbols with usable price history we take the best-covered names and remove exchange-traded funds, for which the sensitivity of </w:t>
      </w:r>
      <w:r>
        <w:rPr>
          <w:rFonts w:ascii="Times New Roman" w:hAnsi="Times New Roman"/>
          <w:b w:val="0"/>
          <w:i/>
          <w:sz w:val="20"/>
          <w:rFonts w:ascii="Times New Roman" w:hAnsi="Times New Roman" w:cs="Times New Roman" w:eastAsia="Times New Roman"/>
        </w:rPr>
        <w:t>this firm's</w:t>
      </w:r>
      <w:r>
        <w:rPr>
          <w:rFonts w:ascii="Times New Roman" w:hAnsi="Times New Roman"/>
          <w:b w:val="0"/>
          <w:i w:val="0"/>
          <w:sz w:val="20"/>
          <w:rFonts w:ascii="Times New Roman" w:hAnsi="Times New Roman" w:cs="Times New Roman" w:eastAsia="Times New Roman"/>
        </w:rPr>
        <w:t xml:space="preserve"> fundamental value to an event has no clean meaning; the exclusion list is enumerated in the panel-building script rather than pattern-matched, so it is auditable. That leaves 35 operating companies, 117,312 symbol-sessions of which 48,261 carry scored news, over 3,521 trading sessions. Prices are split- and dividend-adjusted daily bars; returns are market-adjusted using per-symbol betas estimated on training windows only, and a Parkinson range estimator [43] supplies a volatility proxy.</w:t>
      </w:r>
    </w:p>
    <w:p>
      <w:pPr>
        <w:ind w:firstLine="425"/>
        <w:jc w:val="both"/>
        <w:spacing w:before="0" w:after="0" w:line="240" w:lineRule="auto"/>
      </w:pPr>
      <w:r>
        <w:rPr>
          <w:rFonts w:ascii="Times New Roman" w:hAnsi="Times New Roman"/>
          <w:b/>
          <w:i w:val="0"/>
          <w:sz w:val="20"/>
          <w:rFonts w:ascii="Times New Roman" w:hAnsi="Times New Roman" w:cs="Times New Roman" w:eastAsia="Times New Roman"/>
        </w:rPr>
        <w:t>A production forecast ledger.</w:t>
      </w:r>
      <w:r>
        <w:rPr>
          <w:rFonts w:ascii="Times New Roman" w:hAnsi="Times New Roman"/>
          <w:b w:val="0"/>
          <w:i w:val="0"/>
          <w:sz w:val="20"/>
          <w:rFonts w:ascii="Times New Roman" w:hAnsi="Times New Roman" w:cs="Times New Roman" w:eastAsia="Times New Roman"/>
        </w:rPr>
        <w:t xml:space="preserve"> The forecasting system of Sections 3.8 and 4.8 is deployed on liquid National Stock Exchange of India large-capitalisation equities. Since April 2026 it has written every issued forecast to an append-only ledger — entity, timestamp, target date, point forecast, interval, nominal confidence, directional probability and horizon — with each row later stamped with the realised price and outcome. Rows are scored at first look and never retro-edited. This ledger supplies the interval-coverage and calibration evidence of Section 4.8. It cannot speak to the value of the text decomposition: it stores no per-event return labels and its history is far too short to fit anything.</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We state the resulting limitation at the outset rather than in a closing caveat. </w:t>
      </w:r>
      <w:r>
        <w:rPr>
          <w:rFonts w:ascii="Times New Roman" w:hAnsi="Times New Roman"/>
          <w:b w:val="0"/>
          <w:i/>
          <w:sz w:val="20"/>
          <w:rFonts w:ascii="Times New Roman" w:hAnsi="Times New Roman" w:cs="Times New Roman" w:eastAsia="Times New Roman"/>
        </w:rPr>
        <w:t>The validation market is not the deployment market.</w:t>
      </w:r>
      <w:r>
        <w:rPr>
          <w:rFonts w:ascii="Times New Roman" w:hAnsi="Times New Roman"/>
          <w:b w:val="0"/>
          <w:i w:val="0"/>
          <w:sz w:val="20"/>
          <w:rFonts w:ascii="Times New Roman" w:hAnsi="Times New Roman" w:cs="Times New Roman" w:eastAsia="Times New Roman"/>
        </w:rPr>
        <w:t xml:space="preserve"> No historical Indian headline corpus of comparable density is available to us, so the question whether the decomposition carries information is answered on the US panel, and the question whether a calibrated selective forecaster behaves as designed in production is answered on the Indian ledger.</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2. </w:t>
      </w:r>
      <w:r>
        <w:rPr>
          <w:rFonts w:ascii="Times New Roman" w:hAnsi="Times New Roman"/>
          <w:b w:val="0"/>
          <w:i w:val="0"/>
          <w:sz w:val="18"/>
          <w:rFonts w:ascii="Times New Roman" w:hAnsi="Times New Roman" w:cs="Times New Roman" w:eastAsia="Times New Roman"/>
        </w:rPr>
        <w:t>The two bodies of evidence. The validation panel answers whether the decomposition carries information; the deployment ledger answers whether a calibrated selective forecaster behaves as designed in production. They are drawn from different markets and neither is used to support a claim about the other.</w:t>
      </w:r>
    </w:p>
    <w:tbl>
      <w:tblPr>
        <w:tblW w:type="auto" w:w="0"/>
        <w:jc w:val="center"/>
        <w:tblLayout w:type="fixed"/>
        <w:tblLook w:firstColumn="1" w:firstRow="1" w:lastColumn="0" w:lastRow="0" w:noHBand="0" w:noVBand="1" w:val="04A0"/>
        <w:tblLayout w:type="fixed"/>
      </w:tblPr>
      <w:tblGrid>
        <w:gridCol w:w="2835"/>
        <w:gridCol w:w="2835"/>
        <w:gridCol w:w="2835"/>
      </w:tblGrid>
      <w:tr>
        <w:tc>
          <w:tcPr>
            <w:tcW w:type="dxa" w:w="2041"/>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r>
          </w:p>
        </w:tc>
        <w:tc>
          <w:tcPr>
            <w:tcW w:type="dxa" w:w="3232"/>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Validation panel</w:t>
            </w:r>
          </w:p>
        </w:tc>
        <w:tc>
          <w:tcPr>
            <w:tcW w:type="dxa" w:w="3232"/>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Deployment ledger</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Market</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US listed equities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NSE India large caps</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Source</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FNSPID headline corpus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Live append-only forecast ledger</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Entities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35 operating companies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7 names (live), 54 (walk-forward)</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Span</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2010-01-05 to 2023-12-29</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19 Apr 2026 to 12 Jun 2026</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Sessions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3,521</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Symbol-sessions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117,312</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 with scored news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48,261</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Headlines scored</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134,037</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w:t>
            </w:r>
          </w:p>
        </w:tc>
      </w:tr>
      <w:tr>
        <w:tc>
          <w:tcPr>
            <w:tcW w:type="dxa" w:w="2041"/>
          </w:tcPr>
          <w:p>
            <w:pPr>
              <w:jc w:val="left"/>
              <w:spacing w:before="20" w:after="20" w:line="240" w:lineRule="auto"/>
            </w:pPr>
            <w:r>
              <w:rPr>
                <w:rFonts w:ascii="Times New Roman" w:hAnsi="Times New Roman"/>
                <w:b w:val="0"/>
                <w:i w:val="0"/>
                <w:sz w:val="18"/>
                <w:rFonts w:ascii="Times New Roman" w:hAnsi="Times New Roman" w:cs="Times New Roman" w:eastAsia="Times New Roman"/>
              </w:rPr>
              <w:t>Resolved forecasts</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w:t>
            </w:r>
          </w:p>
        </w:tc>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621</w:t>
            </w:r>
          </w:p>
        </w:tc>
      </w:tr>
      <w:tr>
        <w:tc>
          <w:tcPr>
            <w:tcW w:type="dxa" w:w="2041"/>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Question answered</w:t>
            </w:r>
          </w:p>
        </w:tc>
        <w:tc>
          <w:tcPr>
            <w:tcW w:type="dxa" w:w="3232"/>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Does gating carry information?</w:t>
            </w:r>
          </w:p>
        </w:tc>
        <w:tc>
          <w:tcPr>
            <w:tcW w:type="dxa" w:w="3232"/>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Is the deployed system honest?</w:t>
            </w:r>
          </w:p>
        </w:tc>
      </w:tr>
    </w:tbl>
    <w:p>
      <w:pPr>
        <w:spacing w:before="0" w:after="160" w:line="240" w:lineRule="auto"/>
      </w:pPr>
    </w:p>
    <w:p>
      <w:pPr>
        <w:spacing w:before="160" w:after="80" w:line="240" w:lineRule="auto"/>
      </w:pPr>
      <w:r>
        <w:rPr>
          <w:rFonts w:ascii="Times New Roman" w:hAnsi="Times New Roman"/>
          <w:b/>
          <w:i/>
          <w:sz w:val="22"/>
          <w:rFonts w:ascii="Times New Roman" w:hAnsi="Times New Roman" w:cs="Times New Roman" w:eastAsia="Times New Roman"/>
        </w:rPr>
        <w:t>3.4. Reproducibility and vendor portability of the component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attributes are produced by an instruction-tuned model prompted as a quantitative analyst and constrained to return a JSON array of triples, one per headline, in input order. Three design choices make the measurement reproducible, and they are the controls a systems audit would expect to find.</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First, the prompt fixes </w:t>
      </w:r>
      <w:r>
        <w:rPr>
          <w:rFonts w:ascii="Times New Roman" w:hAnsi="Times New Roman"/>
          <w:b/>
          <w:i w:val="0"/>
          <w:sz w:val="20"/>
          <w:rFonts w:ascii="Times New Roman" w:hAnsi="Times New Roman" w:cs="Times New Roman" w:eastAsia="Times New Roman"/>
        </w:rPr>
        <w:t>numerical anchors</w:t>
      </w:r>
      <w:r>
        <w:rPr>
          <w:rFonts w:ascii="Times New Roman" w:hAnsi="Times New Roman"/>
          <w:b w:val="0"/>
          <w:i w:val="0"/>
          <w:sz w:val="20"/>
          <w:rFonts w:ascii="Times New Roman" w:hAnsi="Times New Roman" w:cs="Times New Roman" w:eastAsia="Times New Roman"/>
        </w:rPr>
        <w:t xml:space="preserve"> on every axis. For novelty, 0.0 is an exact restatement of information already priced or a generic market list, 0.2 an in-line and widely expected result, 0.6 an unexpected but modest development, and 1.0 a sudden shock such as a surprise regulatory action. For materiality, 0.0 is boilerplate or a price-move round-up, 0.4 a contract or ruling worth a few percent of revenue, 0.8 a transformative deal or guidance reset, and 1.0 an existential event. For polarity the anchors run from -1.0 for a fraud allegation through 0.0 for a neutral reshuffle to +1.0 for a large earnings beat or a takeover at a premium. Anchoring matters more here than in ordinary tone scoring, because the product in Eq. (1) amplifies disagreement on any single axis.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Second, every scored item is memoised in a content-addressed store keyed by the SHA-1 hash of the entity and the normalised headline, so repeated runs are deterministic and the scoring history is auditable. Third, the attributes are scored </w:t>
      </w:r>
      <w:r>
        <w:rPr>
          <w:rFonts w:ascii="Times New Roman" w:hAnsi="Times New Roman"/>
          <w:b/>
          <w:i w:val="0"/>
          <w:sz w:val="20"/>
          <w:rFonts w:ascii="Times New Roman" w:hAnsi="Times New Roman" w:cs="Times New Roman" w:eastAsia="Times New Roman"/>
        </w:rPr>
        <w:t>zero-shot</w:t>
      </w:r>
      <w:r>
        <w:rPr>
          <w:rFonts w:ascii="Times New Roman" w:hAnsi="Times New Roman"/>
          <w:b w:val="0"/>
          <w:i w:val="0"/>
          <w:sz w:val="20"/>
          <w:rFonts w:ascii="Times New Roman" w:hAnsi="Times New Roman" w:cs="Times New Roman" w:eastAsia="Times New Roman"/>
        </w:rPr>
        <w:t>: no labelled training data, no fine-tuning, and no market outcome enters the prompt, so the scores cannot encode look-ahead information about the returns they are later used to predict.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Determinism obtained this way is a property of the cache, not of the model, and a system owner who may one day have to change vendors needs the stronger property. We therefore rescored a random subsample of 250 headlines with the cache bypassed and a </w:t>
      </w:r>
      <w:r>
        <w:rPr>
          <w:rFonts w:ascii="Times New Roman" w:hAnsi="Times New Roman"/>
          <w:b/>
          <w:i w:val="0"/>
          <w:sz w:val="20"/>
          <w:rFonts w:ascii="Times New Roman" w:hAnsi="Times New Roman" w:cs="Times New Roman" w:eastAsia="Times New Roman"/>
        </w:rPr>
        <w:t>different vendor's</w:t>
      </w:r>
      <w:r>
        <w:rPr>
          <w:rFonts w:ascii="Times New Roman" w:hAnsi="Times New Roman"/>
          <w:b w:val="0"/>
          <w:i w:val="0"/>
          <w:sz w:val="20"/>
          <w:rFonts w:ascii="Times New Roman" w:hAnsi="Times New Roman" w:cs="Times New Roman" w:eastAsia="Times New Roman"/>
        </w:rPr>
        <w:t xml:space="preserve"> instruction-tuned model, which tests whether the anchored rubric is portable rather than model-specific. Section 4.1 reports the agreement.</w:t>
      </w:r>
    </w:p>
    <w:p>
      <w:pPr>
        <w:spacing w:before="160" w:after="80" w:line="240" w:lineRule="auto"/>
      </w:pPr>
      <w:r>
        <w:rPr>
          <w:rFonts w:ascii="Times New Roman" w:hAnsi="Times New Roman"/>
          <w:b/>
          <w:i/>
          <w:sz w:val="22"/>
          <w:rFonts w:ascii="Times New Roman" w:hAnsi="Times New Roman" w:cs="Times New Roman" w:eastAsia="Times New Roman"/>
        </w:rPr>
        <w:t>3.5. The construct-validity screen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This is the acceptance test the paper argues should run before any feature is built from a multi-attribute prompt. It adapts convergent and discriminant validation [6, 5] to the case where the instrument is a prompt, compressed to what a team can execute in an afternoon.</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(1)</w:t>
        <w:tab/>
      </w:r>
      <w:r>
        <w:rPr>
          <w:rFonts w:ascii="Times New Roman" w:hAnsi="Times New Roman"/>
          <w:b/>
          <w:i w:val="0"/>
          <w:sz w:val="20"/>
          <w:rFonts w:ascii="Times New Roman" w:hAnsi="Times New Roman" w:cs="Times New Roman" w:eastAsia="Times New Roman"/>
        </w:rPr>
        <w:t>Name a criterion per attribute, in advance.</w:t>
      </w:r>
      <w:r>
        <w:rPr>
          <w:rFonts w:ascii="Times New Roman" w:hAnsi="Times New Roman"/>
          <w:b w:val="0"/>
          <w:i w:val="0"/>
          <w:sz w:val="20"/>
          <w:rFonts w:ascii="Times New Roman" w:hAnsi="Times New Roman" w:cs="Times New Roman" w:eastAsia="Times New Roman"/>
        </w:rPr>
        <w:t xml:space="preserve"> For each attribute, state an observable quantity it must track </w:t>
      </w:r>
      <w:r>
        <w:rPr>
          <w:rFonts w:ascii="Times New Roman" w:hAnsi="Times New Roman"/>
          <w:b w:val="0"/>
          <w:i/>
          <w:sz w:val="20"/>
          <w:rFonts w:ascii="Times New Roman" w:hAnsi="Times New Roman" w:cs="Times New Roman" w:eastAsia="Times New Roman"/>
        </w:rPr>
        <w:t>if</w:t>
      </w:r>
      <w:r>
        <w:rPr>
          <w:rFonts w:ascii="Times New Roman" w:hAnsi="Times New Roman"/>
          <w:b w:val="0"/>
          <w:i w:val="0"/>
          <w:sz w:val="20"/>
          <w:rFonts w:ascii="Times New Roman" w:hAnsi="Times New Roman" w:cs="Times New Roman" w:eastAsia="Times New Roman"/>
        </w:rPr>
        <w:t xml:space="preserve"> it measures what its label claims, and that the other attributes have no particular reason to track. The criterion must be computable without the attribute itself. Here, novelty is assigned </w:t>
      </w:r>
      <w:r>
        <w:rPr>
          <w:rFonts w:ascii="Times New Roman" w:hAnsi="Times New Roman"/>
          <w:b w:val="0"/>
          <w:i/>
          <w:sz w:val="20"/>
          <w:rFonts w:ascii="Times New Roman" w:hAnsi="Times New Roman" w:cs="Times New Roman" w:eastAsia="Times New Roman"/>
        </w:rPr>
        <w:t>mechanical staleness</w:t>
      </w:r>
      <w:r>
        <w:rPr>
          <w:rFonts w:ascii="Times New Roman" w:hAnsi="Times New Roman"/>
          <w:b w:val="0"/>
          <w:i w:val="0"/>
          <w:sz w:val="20"/>
          <w:rFonts w:ascii="Times New Roman" w:hAnsi="Times New Roman" w:cs="Times New Roman" w:eastAsia="Times New Roman"/>
        </w:rPr>
        <w:t xml:space="preserve"> — lexical overlap with the same entity's recent coverage — and materiality is assigned </w:t>
      </w:r>
      <w:r>
        <w:rPr>
          <w:rFonts w:ascii="Times New Roman" w:hAnsi="Times New Roman"/>
          <w:b w:val="0"/>
          <w:i/>
          <w:sz w:val="20"/>
          <w:rFonts w:ascii="Times New Roman" w:hAnsi="Times New Roman" w:cs="Times New Roman" w:eastAsia="Times New Roman"/>
        </w:rPr>
        <w:t>outcome magnitude</w:t>
      </w:r>
      <w:r>
        <w:rPr>
          <w:rFonts w:ascii="Times New Roman" w:hAnsi="Times New Roman"/>
          <w:b w:val="0"/>
          <w:i w:val="0"/>
          <w:sz w:val="20"/>
          <w:rFonts w:ascii="Times New Roman" w:hAnsi="Times New Roman" w:cs="Times New Roman" w:eastAsia="Times New Roman"/>
        </w:rPr>
        <w:t>, the absolute market-adjusted return of the session.</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(2)</w:t>
        <w:tab/>
      </w:r>
      <w:r>
        <w:rPr>
          <w:rFonts w:ascii="Times New Roman" w:hAnsi="Times New Roman"/>
          <w:b/>
          <w:i w:val="0"/>
          <w:sz w:val="20"/>
          <w:rFonts w:ascii="Times New Roman" w:hAnsi="Times New Roman" w:cs="Times New Roman" w:eastAsia="Times New Roman"/>
        </w:rPr>
        <w:t>Test conditionally, not marginally.</w:t>
      </w:r>
      <w:r>
        <w:rPr>
          <w:rFonts w:ascii="Times New Roman" w:hAnsi="Times New Roman"/>
          <w:b w:val="0"/>
          <w:i w:val="0"/>
          <w:sz w:val="20"/>
          <w:rFonts w:ascii="Times New Roman" w:hAnsi="Times New Roman" w:cs="Times New Roman" w:eastAsia="Times New Roman"/>
        </w:rPr>
        <w:t xml:space="preserve"> Regress each criterion on all attributes jointly, or equivalently examine partial correlations. This step carries the diagnostic weight. If one latent judgement drives every attribute, each will show a respectable </w:t>
      </w:r>
      <w:r>
        <w:rPr>
          <w:rFonts w:ascii="Times New Roman" w:hAnsi="Times New Roman"/>
          <w:b w:val="0"/>
          <w:i/>
          <w:sz w:val="20"/>
          <w:rFonts w:ascii="Times New Roman" w:hAnsi="Times New Roman" w:cs="Times New Roman" w:eastAsia="Times New Roman"/>
        </w:rPr>
        <w:t>marginal</w:t>
      </w:r>
      <w:r>
        <w:rPr>
          <w:rFonts w:ascii="Times New Roman" w:hAnsi="Times New Roman"/>
          <w:b w:val="0"/>
          <w:i w:val="0"/>
          <w:sz w:val="20"/>
          <w:rFonts w:ascii="Times New Roman" w:hAnsi="Times New Roman" w:cs="Times New Roman" w:eastAsia="Times New Roman"/>
        </w:rPr>
        <w:t xml:space="preserve"> association with every criterion, and only the conditional test reveals that none adds anything to the others.</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(3)</w:t>
        <w:tab/>
      </w:r>
      <w:r>
        <w:rPr>
          <w:rFonts w:ascii="Times New Roman" w:hAnsi="Times New Roman"/>
          <w:b/>
          <w:i w:val="0"/>
          <w:sz w:val="20"/>
          <w:rFonts w:ascii="Times New Roman" w:hAnsi="Times New Roman" w:cs="Times New Roman" w:eastAsia="Times New Roman"/>
        </w:rPr>
        <w:t>Inspect the shape before summarising it.</w:t>
      </w:r>
      <w:r>
        <w:rPr>
          <w:rFonts w:ascii="Times New Roman" w:hAnsi="Times New Roman"/>
          <w:b w:val="0"/>
          <w:i w:val="0"/>
          <w:sz w:val="20"/>
          <w:rFonts w:ascii="Times New Roman" w:hAnsi="Times New Roman" w:cs="Times New Roman" w:eastAsia="Times New Roman"/>
        </w:rPr>
        <w:t xml:space="preserve"> A rank correlation is meaningless if the relationship is not monotone. Plot each attribute against deciles of its criterion first, and only then report a coefficient.</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(4)</w:t>
        <w:tab/>
      </w:r>
      <w:r>
        <w:rPr>
          <w:rFonts w:ascii="Times New Roman" w:hAnsi="Times New Roman"/>
          <w:b/>
          <w:i w:val="0"/>
          <w:sz w:val="20"/>
          <w:rFonts w:ascii="Times New Roman" w:hAnsi="Times New Roman" w:cs="Times New Roman" w:eastAsia="Times New Roman"/>
        </w:rPr>
        <w:t>Control the mechanical confounds of the criterion.</w:t>
      </w:r>
      <w:r>
        <w:rPr>
          <w:rFonts w:ascii="Times New Roman" w:hAnsi="Times New Roman"/>
          <w:b w:val="0"/>
          <w:i w:val="0"/>
          <w:sz w:val="20"/>
          <w:rFonts w:ascii="Times New Roman" w:hAnsi="Times New Roman" w:cs="Times New Roman" w:eastAsia="Times New Roman"/>
        </w:rPr>
        <w:t xml:space="preserve"> A criterion computed from a comparison set inherits that set's properties: a document with few predecessors scores as novel by construction. The size of the comparison set enters as a control.</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(5)</w:t>
        <w:tab/>
      </w:r>
      <w:r>
        <w:rPr>
          <w:rFonts w:ascii="Times New Roman" w:hAnsi="Times New Roman"/>
          <w:b/>
          <w:i w:val="0"/>
          <w:sz w:val="20"/>
          <w:rFonts w:ascii="Times New Roman" w:hAnsi="Times New Roman" w:cs="Times New Roman" w:eastAsia="Times New Roman"/>
        </w:rPr>
        <w:t>Check that the criterion is the right *kind* of quantity for the downstream task.</w:t>
      </w:r>
      <w:r>
        <w:rPr>
          <w:rFonts w:ascii="Times New Roman" w:hAnsi="Times New Roman"/>
          <w:b w:val="0"/>
          <w:i w:val="0"/>
          <w:sz w:val="20"/>
          <w:rFonts w:ascii="Times New Roman" w:hAnsi="Times New Roman" w:cs="Times New Roman" w:eastAsia="Times New Roman"/>
        </w:rPr>
        <w:t xml:space="preserve"> An attribute can be valid and still useless. One that legitimately measures magnitude cannot sharpen a directional forecast. This step converts a validity result into a design decision.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Three properties make the screen cheap enough to be mandatory rather than aspirational. Neither criterion required labelled data. Neither required additional model calls: mechanical staleness is computed from the corpus already collected and outcome magnitude from prices already needed by the study, so the screen adds 0 scoring calls to a panel of 134,037. And nothing in it requires a predictive model to be fitted, so it precedes rather than competes with the modelling programme. Note also that the outcome criterion validates the </w:t>
      </w:r>
      <w:r>
        <w:rPr>
          <w:rFonts w:ascii="Times New Roman" w:hAnsi="Times New Roman"/>
          <w:b/>
          <w:i w:val="0"/>
          <w:sz w:val="20"/>
          <w:rFonts w:ascii="Times New Roman" w:hAnsi="Times New Roman" w:cs="Times New Roman" w:eastAsia="Times New Roman"/>
        </w:rPr>
        <w:t>instrument</w:t>
      </w:r>
      <w:r>
        <w:rPr>
          <w:rFonts w:ascii="Times New Roman" w:hAnsi="Times New Roman"/>
          <w:b w:val="0"/>
          <w:i w:val="0"/>
          <w:sz w:val="20"/>
          <w:rFonts w:ascii="Times New Roman" w:hAnsi="Times New Roman" w:cs="Times New Roman" w:eastAsia="Times New Roman"/>
        </w:rPr>
        <w:t xml:space="preserve"> and is never an input to any signal: checking a measurement against an outcome is legitimate, whereas building the measurement from that outcome would not be.</w:t>
      </w:r>
    </w:p>
    <w:p>
      <w:pPr>
        <w:spacing w:before="160" w:after="80" w:line="240" w:lineRule="auto"/>
      </w:pPr>
      <w:r>
        <w:rPr>
          <w:rFonts w:ascii="Times New Roman" w:hAnsi="Times New Roman"/>
          <w:b/>
          <w:i/>
          <w:sz w:val="22"/>
          <w:rFonts w:ascii="Times New Roman" w:hAnsi="Times New Roman" w:cs="Times New Roman" w:eastAsia="Times New Roman"/>
        </w:rPr>
        <w:t>3.6. The downstream evaluation, and what it cost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To measure the omission cost we ran the modelling programme that a team skipping the screen would run. Every aggregator below is built from the same scored events, so no comparison is confounded by differences in the underlying text: mean polarity, the standard additive recipe; threshold-filtered polarity, the mean polarity of events clearing the materiality floor, which is what practitioners actually do with a vendor relevance score; count-weighted polarity, which rewards repeated coverage as a naive summing pipeline implicitly does; the additive combiner, the mean of the three attributes, which is the natural non-multiplicative way to use exactly the same inputs; and two single-gate ablations built from sν alone and sμ alone.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On top of these we estimated the exponents of Eq. (3) on a grid of 81 points at each horizon, ran a nested horse race, swept the three consequential analyst choices as robustness, and fitted a walk-forward selective forecaster with and without the gated signal. Table 4 counts the resulting objects against the screen. The point is not that 408 fits are expensive in machine time — they are not — but that each carries analyst attention, review time and an opportunity for a specification choice to be made in the direction somebody hopes for. The screen has 3 such objects and none of them is a predictive model.</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4. </w:t>
      </w:r>
      <w:r>
        <w:rPr>
          <w:rFonts w:ascii="Times New Roman" w:hAnsi="Times New Roman"/>
          <w:b w:val="0"/>
          <w:i w:val="0"/>
          <w:sz w:val="18"/>
          <w:rFonts w:ascii="Times New Roman" w:hAnsi="Times New Roman" w:cs="Times New Roman" w:eastAsia="Times New Roman"/>
        </w:rPr>
        <w:t>What the validity screen costs and what it pre-empts. Panel A is the screen of Section 3.5; Panel B is the modelling programme of Section 4, whose every conclusion the screen anticipates. Counts are of fitted objects, derived from the stored result files rather than asserted.</w:t>
      </w:r>
    </w:p>
    <w:tbl>
      <w:tblPr>
        <w:tblW w:type="auto" w:w="0"/>
        <w:jc w:val="center"/>
        <w:tblLayout w:type="fixed"/>
        <w:tblLook w:firstColumn="1" w:firstRow="1" w:lastColumn="0" w:lastRow="0" w:noHBand="0" w:noVBand="1" w:val="04A0"/>
        <w:tblLayout w:type="fixed"/>
      </w:tblPr>
      <w:tblGrid>
        <w:gridCol w:w="2835"/>
        <w:gridCol w:w="2835"/>
        <w:gridCol w:w="2835"/>
      </w:tblGrid>
      <w:tr>
        <w:tc>
          <w:tcPr>
            <w:tcW w:type="dxa" w:w="2721"/>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t>Stage</w:t>
            </w:r>
          </w:p>
        </w:tc>
        <w:tc>
          <w:tcPr>
            <w:tcW w:type="dxa" w:w="3912"/>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Unit counted</w:t>
            </w:r>
          </w:p>
        </w:tc>
        <w:tc>
          <w:tcPr>
            <w:tcW w:type="dxa" w:w="1871"/>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Count</w:t>
            </w:r>
          </w:p>
        </w:tc>
      </w:tr>
      <w:tr>
        <w:tc>
          <w:tcPr>
            <w:tcW w:type="dxa" w:w="8504"/>
            <w:gridSpan w:val="3"/>
          </w:tcPr>
          <w:p>
            <w:pPr>
              <w:spacing w:before="80" w:after="40" w:line="240" w:lineRule="auto"/>
            </w:pPr>
            <w:r>
              <w:rPr>
                <w:rFonts w:ascii="Times New Roman" w:hAnsi="Times New Roman"/>
                <w:b w:val="0"/>
                <w:i/>
                <w:sz w:val="18"/>
                <w:rFonts w:ascii="Times New Roman" w:hAnsi="Times New Roman" w:cs="Times New Roman" w:eastAsia="Times New Roman"/>
              </w:rPr>
              <w:t>Panel A: the validity screen</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Criterion regressions</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one per attribute</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2</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Decile profiles inspected</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one per criterion pair</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1</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Additional scoring-model calls</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headlines rescored</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0</w:t>
            </w:r>
          </w:p>
        </w:tc>
      </w:tr>
      <w:tr>
        <w:tc>
          <w:tcPr>
            <w:tcW w:type="dxa" w:w="2721"/>
          </w:tcPr>
          <w:p>
            <w:pPr>
              <w:jc w:val="left"/>
              <w:spacing w:before="20" w:after="20" w:line="240" w:lineRule="auto"/>
            </w:pPr>
            <w:r>
              <w:rPr>
                <w:rFonts w:ascii="Times New Roman" w:hAnsi="Times New Roman"/>
                <w:b/>
                <w:i w:val="0"/>
                <w:sz w:val="18"/>
                <w:rFonts w:ascii="Times New Roman" w:hAnsi="Times New Roman" w:cs="Times New Roman" w:eastAsia="Times New Roman"/>
              </w:rPr>
              <w:t>Total fitted objects</w:t>
            </w:r>
          </w:p>
        </w:tc>
        <w:tc>
          <w:tcPr>
            <w:tcW w:type="dxa" w:w="3912"/>
          </w:tcPr>
          <w:p>
            <w:pPr>
              <w:jc w:val="left"/>
              <w:spacing w:before="20" w:after="20" w:line="240" w:lineRule="auto"/>
            </w:pPr>
            <w:r>
              <w:rPr>
                <w:rFonts w:ascii="Times New Roman" w:hAnsi="Times New Roman"/>
                <w:b/>
                <w:i w:val="0"/>
                <w:sz w:val="18"/>
                <w:rFonts w:ascii="Times New Roman" w:hAnsi="Times New Roman" w:cs="Times New Roman" w:eastAsia="Times New Roman"/>
              </w:rPr>
            </w:r>
          </w:p>
        </w:tc>
        <w:tc>
          <w:tcPr>
            <w:tcW w:type="dxa" w:w="1871"/>
          </w:tcPr>
          <w:p>
            <w:pPr>
              <w:jc w:val="right"/>
              <w:spacing w:before="20" w:after="20" w:line="240" w:lineRule="auto"/>
            </w:pPr>
            <w:r>
              <w:rPr>
                <w:rFonts w:ascii="Times New Roman" w:hAnsi="Times New Roman"/>
                <w:b/>
                <w:i w:val="0"/>
                <w:sz w:val="18"/>
                <w:rFonts w:ascii="Times New Roman" w:hAnsi="Times New Roman" w:cs="Times New Roman" w:eastAsia="Times New Roman"/>
              </w:rPr>
              <w:t>3</w:t>
            </w:r>
          </w:p>
        </w:tc>
      </w:tr>
      <w:tr>
        <w:tc>
          <w:tcPr>
            <w:tcW w:type="dxa" w:w="8504"/>
            <w:gridSpan w:val="3"/>
          </w:tcPr>
          <w:p>
            <w:pPr>
              <w:spacing w:before="80" w:after="40" w:line="240" w:lineRule="auto"/>
            </w:pPr>
            <w:r>
              <w:rPr>
                <w:rFonts w:ascii="Times New Roman" w:hAnsi="Times New Roman"/>
                <w:b w:val="0"/>
                <w:i/>
                <w:sz w:val="18"/>
                <w:rFonts w:ascii="Times New Roman" w:hAnsi="Times New Roman" w:cs="Times New Roman" w:eastAsia="Times New Roman"/>
              </w:rPr>
              <w:t>Panel B: the downstream programme</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Predictive regressions</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aggregator x horizon</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21</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Nested horse-race coefficients</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term x horizon</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12</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Exponent-grid evaluations</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81 per horizon, 3 horizons</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243</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Robustness re-estimations</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variation x setting x horizon</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27</w:t>
            </w:r>
          </w:p>
        </w:tc>
      </w:tr>
      <w:tr>
        <w:tc>
          <w:tcPr>
            <w:tcW w:type="dxa" w:w="2721"/>
          </w:tcPr>
          <w:p>
            <w:pPr>
              <w:jc w:val="left"/>
              <w:spacing w:before="20" w:after="20" w:line="240" w:lineRule="auto"/>
            </w:pPr>
            <w:r>
              <w:rPr>
                <w:rFonts w:ascii="Times New Roman" w:hAnsi="Times New Roman"/>
                <w:b w:val="0"/>
                <w:i w:val="0"/>
                <w:sz w:val="18"/>
                <w:rFonts w:ascii="Times New Roman" w:hAnsi="Times New Roman" w:cs="Times New Roman" w:eastAsia="Times New Roman"/>
              </w:rPr>
              <w:t>Walk-forward selective forecasters</w:t>
            </w:r>
          </w:p>
        </w:tc>
        <w:tc>
          <w:tcPr>
            <w:tcW w:type="dxa" w:w="3912"/>
          </w:tcPr>
          <w:p>
            <w:pPr>
              <w:jc w:val="left"/>
              <w:spacing w:before="20" w:after="20" w:line="240" w:lineRule="auto"/>
            </w:pPr>
            <w:r>
              <w:rPr>
                <w:rFonts w:ascii="Times New Roman" w:hAnsi="Times New Roman"/>
                <w:b w:val="0"/>
                <w:i w:val="0"/>
                <w:sz w:val="18"/>
                <w:rFonts w:ascii="Times New Roman" w:hAnsi="Times New Roman" w:cs="Times New Roman" w:eastAsia="Times New Roman"/>
              </w:rPr>
              <w:t>5 variants x 7 years x 3 horizons</w:t>
            </w:r>
          </w:p>
        </w:tc>
        <w:tc>
          <w:tcPr>
            <w:tcW w:type="dxa" w:w="1871"/>
          </w:tcPr>
          <w:p>
            <w:pPr>
              <w:jc w:val="right"/>
              <w:spacing w:before="20" w:after="20" w:line="240" w:lineRule="auto"/>
            </w:pPr>
            <w:r>
              <w:rPr>
                <w:rFonts w:ascii="Times New Roman" w:hAnsi="Times New Roman"/>
                <w:b w:val="0"/>
                <w:i w:val="0"/>
                <w:sz w:val="18"/>
                <w:rFonts w:ascii="Times New Roman" w:hAnsi="Times New Roman" w:cs="Times New Roman" w:eastAsia="Times New Roman"/>
              </w:rPr>
              <w:t>105</w:t>
            </w:r>
          </w:p>
        </w:tc>
      </w:tr>
      <w:tr>
        <w:tc>
          <w:tcPr>
            <w:tcW w:type="dxa" w:w="2721"/>
            <w:tcBorders>
              <w:bottom w:val="single" w:sz="8" w:space="0" w:color="000000"/>
            </w:tcBorders>
          </w:tcPr>
          <w:p>
            <w:pPr>
              <w:jc w:val="left"/>
              <w:spacing w:before="20" w:after="20" w:line="240" w:lineRule="auto"/>
            </w:pPr>
            <w:r>
              <w:rPr>
                <w:rFonts w:ascii="Times New Roman" w:hAnsi="Times New Roman"/>
                <w:b/>
                <w:i w:val="0"/>
                <w:sz w:val="18"/>
                <w:rFonts w:ascii="Times New Roman" w:hAnsi="Times New Roman" w:cs="Times New Roman" w:eastAsia="Times New Roman"/>
              </w:rPr>
              <w:t>Total fitted objects</w:t>
            </w:r>
          </w:p>
        </w:tc>
        <w:tc>
          <w:tcPr>
            <w:tcW w:type="dxa" w:w="3912"/>
            <w:tcBorders>
              <w:bottom w:val="single" w:sz="8" w:space="0" w:color="000000"/>
            </w:tcBorders>
          </w:tcPr>
          <w:p>
            <w:pPr>
              <w:jc w:val="left"/>
              <w:spacing w:before="20" w:after="20" w:line="240" w:lineRule="auto"/>
            </w:pPr>
            <w:r>
              <w:rPr>
                <w:rFonts w:ascii="Times New Roman" w:hAnsi="Times New Roman"/>
                <w:b/>
                <w:i w:val="0"/>
                <w:sz w:val="18"/>
                <w:rFonts w:ascii="Times New Roman" w:hAnsi="Times New Roman" w:cs="Times New Roman" w:eastAsia="Times New Roman"/>
              </w:rPr>
            </w:r>
          </w:p>
        </w:tc>
        <w:tc>
          <w:tcPr>
            <w:tcW w:type="dxa" w:w="1871"/>
            <w:tcBorders>
              <w:bottom w:val="single" w:sz="8" w:space="0" w:color="000000"/>
            </w:tcBorders>
          </w:tcPr>
          <w:p>
            <w:pPr>
              <w:jc w:val="right"/>
              <w:spacing w:before="20" w:after="20" w:line="240" w:lineRule="auto"/>
            </w:pPr>
            <w:r>
              <w:rPr>
                <w:rFonts w:ascii="Times New Roman" w:hAnsi="Times New Roman"/>
                <w:b/>
                <w:i w:val="0"/>
                <w:sz w:val="18"/>
                <w:rFonts w:ascii="Times New Roman" w:hAnsi="Times New Roman" w:cs="Times New Roman" w:eastAsia="Times New Roman"/>
              </w:rPr>
              <w:t>408</w:t>
            </w:r>
          </w:p>
        </w:tc>
      </w:tr>
    </w:tbl>
    <w:p>
      <w:pPr>
        <w:jc w:val="both"/>
        <w:spacing w:before="60" w:after="200" w:line="240" w:lineRule="auto"/>
      </w:pPr>
      <w:r>
        <w:rPr>
          <w:rFonts w:ascii="Times New Roman" w:hAnsi="Times New Roman"/>
          <w:b w:val="0"/>
          <w:i w:val="0"/>
          <w:sz w:val="18"/>
          <w:rFonts w:ascii="Times New Roman" w:hAnsi="Times New Roman" w:cs="Times New Roman" w:eastAsia="Times New Roman"/>
        </w:rPr>
        <w:t>Neither criterion in Panel A required a labelled example or an additional call to the scoring model.</w:t>
      </w:r>
    </w:p>
    <w:p>
      <w:pPr>
        <w:spacing w:before="160" w:after="80" w:line="240" w:lineRule="auto"/>
      </w:pPr>
      <w:r>
        <w:rPr>
          <w:rFonts w:ascii="Times New Roman" w:hAnsi="Times New Roman"/>
          <w:b/>
          <w:i/>
          <w:sz w:val="22"/>
          <w:rFonts w:ascii="Times New Roman" w:hAnsi="Times New Roman" w:cs="Times New Roman" w:eastAsia="Times New Roman"/>
        </w:rPr>
        <w:t>3.7. Timing convention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Every headline carries a UTC publication stamp. It is converted to the exchange time zone and assigned to the session whose 16:00 close first follows it, so the aggregate for session d contains only information public before that close and is used to predict returns realised from session d+1 onward. The convention is applied uniformly and is the single most important guard in the study: a related analysis in earlier work by the present authors produced a spuriously significant result that turned out to be a time-zone join artefact, and this convention was adopted after that diagnosis.</w:t>
      </w:r>
    </w:p>
    <w:p>
      <w:pPr>
        <w:spacing w:before="160" w:after="80" w:line="240" w:lineRule="auto"/>
      </w:pPr>
      <w:r>
        <w:rPr>
          <w:rFonts w:ascii="Times New Roman" w:hAnsi="Times New Roman"/>
          <w:b/>
          <w:i/>
          <w:sz w:val="22"/>
          <w:rFonts w:ascii="Times New Roman" w:hAnsi="Times New Roman" w:cs="Times New Roman" w:eastAsia="Times New Roman"/>
        </w:rPr>
        <w:t>3.8. Calibration and the conviction gate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aggregate A is one feature among several entering a forecaster that also sees price, momentum, trend, reversal and volatility features, and that emits per name and horizon a point forecast, a price interval and a directional probability. We treat the forecaster as a black box and study its calibration, measured by the expected calibration error over B equal-width bins,</w:t>
      </w:r>
    </w:p>
    <w:p>
      <w:pPr>
        <w:spacing w:before="120" w:after="120" w:line="240" w:lineRule="auto"/>
        <w:tabs>
          <w:tab w:val="center" w:pos="4200"/>
          <w:tab w:val="right" w:pos="8400"/>
        </w:tabs>
      </w:pPr>
      <w:r>
        <w:tab/>
      </w:r>
      <m:oMath>
        <m:r>
          <m:rPr>
            <m:sty m:val="p"/>
          </m:rPr>
          <m:t xml:space="preserve">ECE</m:t>
        </m:r>
        <m:r>
          <m:rPr>
            <m:sty m:val="p"/>
          </m:rPr>
          <m:t xml:space="preserve"> = </m:t>
        </m:r>
        <m:nary>
          <m:naryPr>
            <m:chr m:val="∑"/>
            <m:limLoc m:val="undOvr"/>
          </m:naryPr>
          <m:sub>
            <m:r>
              <m:t xml:space="preserve">b</m:t>
            </m:r>
            <m:r>
              <m:rPr>
                <m:sty m:val="p"/>
              </m:rPr>
              <m:t xml:space="preserve">=1</m:t>
            </m:r>
          </m:sub>
          <m:sup>
            <m:r>
              <m:t xml:space="preserve">B</m:t>
            </m:r>
          </m:sup>
          <m:e>
            <m:f>
              <m:fPr>
                <m:type m:val="bar"/>
              </m:fPr>
              <m:num>
                <m:r>
                  <m:rPr>
                    <m:sty m:val="p"/>
                  </m:rPr>
                  <m:t xml:space="preserve">|</m:t>
                </m:r>
                <m:sSub>
                  <m:e>
                    <m:r>
                      <m:t xml:space="preserve">G</m:t>
                    </m:r>
                  </m:e>
                  <m:sub>
                    <m:r>
                      <m:t xml:space="preserve">b</m:t>
                    </m:r>
                  </m:sub>
                </m:sSub>
                <m:r>
                  <m:rPr>
                    <m:sty m:val="p"/>
                  </m:rPr>
                  <m:t xml:space="preserve">|</m:t>
                </m:r>
              </m:num>
              <m:den>
                <m:r>
                  <m:t xml:space="preserve">N</m:t>
                </m:r>
              </m:den>
            </m:f>
            <m:r>
              <m:rPr>
                <m:sty m:val="p"/>
              </m:rPr>
              <m:t xml:space="preserve">|</m:t>
            </m:r>
            <m:sSub>
              <m:e>
                <m:r>
                  <m:t xml:space="preserve">ȳ</m:t>
                </m:r>
              </m:e>
              <m:sub>
                <m:r>
                  <m:t xml:space="preserve">b</m:t>
                </m:r>
              </m:sub>
            </m:sSub>
            <m:r>
              <m:rPr>
                <m:sty m:val="p"/>
              </m:rPr>
              <m:t xml:space="preserve"> − </m:t>
            </m:r>
            <m:sSub>
              <m:e>
                <m:r>
                  <m:t xml:space="preserve">p̄</m:t>
                </m:r>
              </m:e>
              <m:sub>
                <m:r>
                  <m:t xml:space="preserve">b</m:t>
                </m:r>
              </m:sub>
            </m:sSub>
            <m:r>
              <m:rPr>
                <m:sty m:val="p"/>
              </m:rPr>
              <m:t xml:space="preserve">|</m:t>
            </m:r>
          </m:e>
        </m:nary>
      </m:oMath>
      <w:r>
        <w:rPr>
          <w:rFonts w:ascii="Times New Roman" w:hAnsi="Times New Roman"/>
          <w:b w:val="0"/>
          <w:i w:val="0"/>
          <w:sz w:val="20"/>
          <w:rFonts w:ascii="Times New Roman" w:hAnsi="Times New Roman" w:cs="Times New Roman" w:eastAsia="Times New Roman"/>
        </w:rPr>
        <w:tab/>
        <w:t>(4)</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with the bar quantities the mean predicted probability and mean realised outcome in bin b, and by the Brier score [29].</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first deployed version of this model reported next-day up-probabilities clustered near 0.80 against a realised accuracy near 0.51. The cause was a stacking domain mismatch [30]: an isotonic calibrator had been fitted on the out-of-fold </w:t>
      </w:r>
      <w:r>
        <w:rPr>
          <w:rFonts w:ascii="Times New Roman" w:hAnsi="Times New Roman"/>
          <w:b w:val="0"/>
          <w:i/>
          <w:sz w:val="20"/>
          <w:rFonts w:ascii="Times New Roman" w:hAnsi="Times New Roman" w:cs="Times New Roman" w:eastAsia="Times New Roman"/>
        </w:rPr>
        <w:t>average of the base learners</w:t>
      </w:r>
      <w:r>
        <w:rPr>
          <w:rFonts w:ascii="Times New Roman" w:hAnsi="Times New Roman"/>
          <w:b w:val="0"/>
          <w:i w:val="0"/>
          <w:sz w:val="20"/>
          <w:rFonts w:ascii="Times New Roman" w:hAnsi="Times New Roman" w:cs="Times New Roman" w:eastAsia="Times New Roman"/>
        </w:rPr>
        <w:t xml:space="preserve"> and was then applied to the </w:t>
      </w:r>
      <w:r>
        <w:rPr>
          <w:rFonts w:ascii="Times New Roman" w:hAnsi="Times New Roman"/>
          <w:b w:val="0"/>
          <w:i/>
          <w:sz w:val="20"/>
          <w:rFonts w:ascii="Times New Roman" w:hAnsi="Times New Roman" w:cs="Times New Roman" w:eastAsia="Times New Roman"/>
        </w:rPr>
        <w:t>stacked</w:t>
      </w:r>
      <w:r>
        <w:rPr>
          <w:rFonts w:ascii="Times New Roman" w:hAnsi="Times New Roman"/>
          <w:b w:val="0"/>
          <w:i w:val="0"/>
          <w:sz w:val="20"/>
          <w:rFonts w:ascii="Times New Roman" w:hAnsi="Times New Roman" w:cs="Times New Roman" w:eastAsia="Times New Roman"/>
        </w:rPr>
        <w:t xml:space="preserve"> prediction, a different distribution, and the blend itself was never calibrated. The repair is a three-stage procedure — refit the isotonic map on the base-average it was meant to correct, form the blend, then fit a final Platt scaler [27] on a held-out fold and apply it to test and live rows. The transferable lesson for a system owner is that a calibrator is bound to the distribution it was fitted on, and stacking silently creates more than one.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Calibration makes a probability honest, not skilful. If short-horizon direction is close to unpredictable, a calibrated probability sits near the base rate almost everywhere and acting on every name is pointless. The remedy mirrors the text-stage veto: act only when conviction clears a threshold. For a horizon of H sessions the system emits an UP call when the probability clears τ∗ and abstains otherwise, with τ∗ chosen on training data as</w:t>
      </w:r>
    </w:p>
    <w:p>
      <w:pPr>
        <w:spacing w:before="120" w:after="120" w:line="240" w:lineRule="auto"/>
        <w:tabs>
          <w:tab w:val="center" w:pos="4200"/>
          <w:tab w:val="right" w:pos="8400"/>
        </w:tabs>
      </w:pPr>
      <w:r>
        <w:tab/>
      </w:r>
      <m:oMath>
        <m:sSup>
          <m:e>
            <m:r>
              <m:t xml:space="preserve">τ</m:t>
            </m:r>
          </m:e>
          <m:sup>
            <m:r>
              <m:rPr>
                <m:sty m:val="p"/>
              </m:rPr>
              <m:t xml:space="preserve">*</m:t>
            </m:r>
          </m:sup>
        </m:sSup>
        <m:r>
          <m:rPr>
            <m:sty m:val="p"/>
          </m:rPr>
          <m:t xml:space="preserve"> = min</m:t>
        </m:r>
        <m:d>
          <m:dPr>
            <m:begChr m:val="{"/>
            <m:endChr m:val="}"/>
          </m:dPr>
          <m:e>
            <m:r>
              <m:t xml:space="preserve">τ</m:t>
            </m:r>
            <m:r>
              <m:rPr>
                <m:sty m:val="p"/>
              </m:rPr>
              <m:t xml:space="preserve"> : </m:t>
            </m:r>
            <m:r>
              <m:rPr>
                <m:sty m:val="p"/>
              </m:rPr>
              <m:t xml:space="preserve">prec</m:t>
            </m:r>
            <m:d>
              <m:dPr>
                <m:begChr m:val="("/>
                <m:endChr m:val=")"/>
              </m:dPr>
              <m:e>
                <m:r>
                  <m:t xml:space="preserve">τ</m:t>
                </m:r>
              </m:e>
            </m:d>
            <m:r>
              <m:rPr>
                <m:sty m:val="p"/>
              </m:rPr>
              <m:t xml:space="preserve"> ≥ </m:t>
            </m:r>
            <m:sSub>
              <m:e>
                <m:r>
                  <m:t xml:space="preserve">π</m:t>
                </m:r>
              </m:e>
              <m:sub>
                <m:r>
                  <m:rPr>
                    <m:sty m:val="p"/>
                  </m:rPr>
                  <m:t xml:space="preserve">0</m:t>
                </m:r>
              </m:sub>
            </m:sSub>
            <m:r>
              <m:rPr>
                <m:sty m:val="p"/>
              </m:rPr>
              <m:t xml:space="preserve"> and </m:t>
            </m:r>
            <m:r>
              <m:t xml:space="preserve">φ</m:t>
            </m:r>
            <m:d>
              <m:dPr>
                <m:begChr m:val="("/>
                <m:endChr m:val=")"/>
              </m:dPr>
              <m:e>
                <m:r>
                  <m:t xml:space="preserve">τ</m:t>
                </m:r>
              </m:e>
            </m:d>
            <m:r>
              <m:rPr>
                <m:sty m:val="p"/>
              </m:rPr>
              <m:t xml:space="preserve"> ≥ </m:t>
            </m:r>
            <m:sSub>
              <m:e>
                <m:r>
                  <m:t xml:space="preserve">φ</m:t>
                </m:r>
              </m:e>
              <m:sub>
                <m:r>
                  <m:rPr>
                    <m:sty m:val="p"/>
                  </m:rPr>
                  <m:t xml:space="preserve">0</m:t>
                </m:r>
              </m:sub>
            </m:sSub>
          </m:e>
        </m:d>
      </m:oMath>
      <w:r>
        <w:rPr>
          <w:rFonts w:ascii="Times New Roman" w:hAnsi="Times New Roman"/>
          <w:b w:val="0"/>
          <w:i w:val="0"/>
          <w:sz w:val="20"/>
          <w:rFonts w:ascii="Times New Roman" w:hAnsi="Times New Roman" w:cs="Times New Roman" w:eastAsia="Times New Roman"/>
        </w:rPr>
        <w:tab/>
        <w:t>(5)</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where prec(τ) is the realised up-rate among fired calls and φ(τ) the firing rate, with π₀ = 0.60 and φ₀ = 0.05. The gate is one-sided because confident DOWN calls are destroyed by the upward drift of equities, so the system emits long-or-neutral signals only. Reporting a single operating point invites the objection that τ∗ was tuned to the number being reported, so we also report the full </w:t>
      </w:r>
      <w:r>
        <w:rPr>
          <w:rFonts w:ascii="Times New Roman" w:hAnsi="Times New Roman"/>
          <w:b/>
          <w:i w:val="0"/>
          <w:sz w:val="20"/>
          <w:rFonts w:ascii="Times New Roman" w:hAnsi="Times New Roman" w:cs="Times New Roman" w:eastAsia="Times New Roman"/>
        </w:rPr>
        <w:t>risk-coverage curve</w:t>
      </w:r>
      <w:r>
        <w:rPr>
          <w:rFonts w:ascii="Times New Roman" w:hAnsi="Times New Roman"/>
          <w:b w:val="0"/>
          <w:i w:val="0"/>
          <w:sz w:val="20"/>
          <w:rFonts w:ascii="Times New Roman" w:hAnsi="Times New Roman" w:cs="Times New Roman" w:eastAsia="Times New Roman"/>
        </w:rPr>
        <w:t xml:space="preserve"> and its area (AURC): sorting predictions by confidence and sweeping the threshold traces the selective risk accepted at each coverage level, and the area under that curve summarises the whole trade-off without reference to any threshold [33, 32].</w:t>
      </w:r>
    </w:p>
    <w:p>
      <w:pPr>
        <w:spacing w:before="160" w:after="80" w:line="240" w:lineRule="auto"/>
      </w:pPr>
      <w:r>
        <w:rPr>
          <w:rFonts w:ascii="Times New Roman" w:hAnsi="Times New Roman"/>
          <w:b/>
          <w:i/>
          <w:sz w:val="22"/>
          <w:rFonts w:ascii="Times New Roman" w:hAnsi="Times New Roman" w:cs="Times New Roman" w:eastAsia="Times New Roman"/>
        </w:rPr>
        <w:t>3.9. Evaluation protocol and inference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All panel results are walk-forward by calendar year: for test year Y the model sees only sessions strictly before 1 January Y, the last 20% of the training sessions are held out to fit the probability calibrator and to choose τ∗, and neither is ever selected on test data. Test years run from 2014 to 2020. Inference respects the two dependence structures of a return panel: a market-wide shock hits every name on the same date, and returns are persistent within a name. We therefore report two-way clustered standard errors by date and symbol [44], cross-checked against Fama-MacBeth cross-sectional slopes with a Newey-West correction [45, 46]. Multi-session horizons are evaluated on non-overlapping windows as the primary specification, and confidence intervals for differences between models come from a block bootstrap that resamples whole dates, preserving cross-sectional correlation.</w:t>
      </w:r>
    </w:p>
    <w:p>
      <w:pPr>
        <w:spacing w:before="240" w:after="120" w:line="240" w:lineRule="auto"/>
      </w:pPr>
      <w:r>
        <w:rPr>
          <w:rFonts w:ascii="Times New Roman" w:hAnsi="Times New Roman"/>
          <w:b/>
          <w:i w:val="0"/>
          <w:sz w:val="24"/>
          <w:rFonts w:ascii="Times New Roman" w:hAnsi="Times New Roman" w:cs="Times New Roman" w:eastAsia="Times New Roman"/>
        </w:rPr>
        <w:t>4. Results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We report in the order a sceptical reviewer of the system would want. First, does the component produce anything stable and portable? Second, are the three attributes the separate things Section 3.2 assumes? Third, does the gated aggregate predict at all? And last, does it predict better than the simpler recipes it was built to replace. The answers are, in order: yes; </w:t>
      </w:r>
      <w:r>
        <w:rPr>
          <w:rFonts w:ascii="Times New Roman" w:hAnsi="Times New Roman"/>
          <w:b/>
          <w:i w:val="0"/>
          <w:sz w:val="20"/>
          <w:rFonts w:ascii="Times New Roman" w:hAnsi="Times New Roman" w:cs="Times New Roman" w:eastAsia="Times New Roman"/>
        </w:rPr>
        <w:t>no</w:t>
      </w:r>
      <w:r>
        <w:rPr>
          <w:rFonts w:ascii="Times New Roman" w:hAnsi="Times New Roman"/>
          <w:b w:val="0"/>
          <w:i w:val="0"/>
          <w:sz w:val="20"/>
          <w:rFonts w:ascii="Times New Roman" w:hAnsi="Times New Roman" w:cs="Times New Roman" w:eastAsia="Times New Roman"/>
        </w:rPr>
        <w:t>; yes; and no.</w:t>
      </w:r>
    </w:p>
    <w:p>
      <w:pPr>
        <w:spacing w:before="160" w:after="80" w:line="240" w:lineRule="auto"/>
      </w:pPr>
      <w:r>
        <w:rPr>
          <w:rFonts w:ascii="Times New Roman" w:hAnsi="Times New Roman"/>
          <w:b/>
          <w:i/>
          <w:sz w:val="22"/>
          <w:rFonts w:ascii="Times New Roman" w:hAnsi="Times New Roman" w:cs="Times New Roman" w:eastAsia="Times New Roman"/>
        </w:rPr>
        <w:t>4.1. Component reliability and portability</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Scoring 134,037 headlines for 35 companies over 2010-01-05 to 2023-12-29 yields attributes with sensible central tendencies: mean novelty 0.189, mean materiality 0.157 and mean polarity 0.039, the last confirming the mild positive skew the news-tone literature reports. Two properties of the component deserve comment before anything is built on it.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First, the model reports on a </w:t>
      </w:r>
      <w:r>
        <w:rPr>
          <w:rFonts w:ascii="Times New Roman" w:hAnsi="Times New Roman"/>
          <w:b/>
          <w:i w:val="0"/>
          <w:sz w:val="20"/>
          <w:rFonts w:ascii="Times New Roman" w:hAnsi="Times New Roman" w:cs="Times New Roman" w:eastAsia="Times New Roman"/>
        </w:rPr>
        <w:t>coarse grid</w:t>
      </w:r>
      <w:r>
        <w:rPr>
          <w:rFonts w:ascii="Times New Roman" w:hAnsi="Times New Roman"/>
          <w:b w:val="0"/>
          <w:i w:val="0"/>
          <w:sz w:val="20"/>
          <w:rFonts w:ascii="Times New Roman" w:hAnsi="Times New Roman" w:cs="Times New Roman" w:eastAsia="Times New Roman"/>
        </w:rPr>
        <w:t xml:space="preserve"> rather than a continuum: the mass sits on multiples of 0.1, visible as the discrete bars of Figure 1(a). This is a property of anchored prompting, not an artefact of the aggregation, and it means the attributes carry less resolution than their [0, 1] range suggests — a fact worth recording in the feature specification, because a downstream consumer that assumes continuity will over-read small differences.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Second, and more consequential for a system owner, the cross-vendor agreement is moderate and uneven. On the 250-headline rescoring subsample the intraclass correlation [47] is 0.779 for polarity, 0.727 for materiality and only 0.565 for novelty, with the event signal inheriting 0.601. The ordering matters for how the rest of the paper reads. Polarity, the attribute with decades of instrument development behind it, is the one two independent vendors agree on most; novelty, the attribute on which the component's distinctive claim rests, is the one they agree on least. Any true multiplicative effect is therefore being estimated through the noisiest available channel, and classical attenuation would bias the measured contribution of gating toward zero. We return to this in Section 5.4, because it is the most credible non-trivial explanation of the null results that follow. The subsample is small — 250 headlines, bounded by the free-tier request quota rather than by design — so these coefficients are indicative rather than precise.</w:t>
      </w:r>
    </w:p>
    <w:p>
      <w:pPr>
        <w:spacing w:before="160" w:after="80" w:line="240" w:lineRule="auto"/>
      </w:pPr>
      <w:r>
        <w:rPr>
          <w:rFonts w:ascii="Times New Roman" w:hAnsi="Times New Roman"/>
          <w:b/>
          <w:i/>
          <w:sz w:val="22"/>
          <w:rFonts w:ascii="Times New Roman" w:hAnsi="Times New Roman" w:cs="Times New Roman" w:eastAsia="Times New Roman"/>
        </w:rPr>
        <w:t>4.2. The veto works; the attributes are not separable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gate does exactly what Proposition 1 promises. Table 3 shows that 56.3% of events fall below the materiality floor and are refused outright, and that 47.6% of symbol-sessions carrying news end with an aggregate of exactly zero. The contraction is equally visible: the standard deviation of the gated aggregate is 0.054 against 0.154 for mean polarity, so gating removes about two-thirds of the cross-sectional dispersion of the signal. Figure 1(c) is the per-session version of the same statement, with almost every point below the 45-degree line. On its own terms the mechanism is not in doubt.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premise underneath it is. Multiplicative gating supposes that novelty and materiality are </w:t>
      </w:r>
      <w:r>
        <w:rPr>
          <w:rFonts w:ascii="Times New Roman" w:hAnsi="Times New Roman"/>
          <w:b/>
          <w:i w:val="0"/>
          <w:sz w:val="20"/>
          <w:rFonts w:ascii="Times New Roman" w:hAnsi="Times New Roman" w:cs="Times New Roman" w:eastAsia="Times New Roman"/>
        </w:rPr>
        <w:t>separable</w:t>
      </w:r>
      <w:r>
        <w:rPr>
          <w:rFonts w:ascii="Times New Roman" w:hAnsi="Times New Roman"/>
          <w:b w:val="0"/>
          <w:i w:val="0"/>
          <w:sz w:val="20"/>
          <w:rFonts w:ascii="Times New Roman" w:hAnsi="Times New Roman" w:cs="Times New Roman" w:eastAsia="Times New Roman"/>
        </w:rPr>
        <w:t xml:space="preserve"> properties acting through different channels. In the measured data they are very nearly the same variable: the correlation between ν and μ across all 134,037 events is 0.871, and Figure 1(b) shows the joint mass collapsing onto the diagonal. An item the model judges novel is almost always an item it judges material, and conversely.</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This single fact anticipates every result that follows. If two of the three attributes carry nearly the same information, the second gate can add almost nothing once the first has acted, the product cannot separate itself from simpler combinations of the same inputs, and any attempt to estimate distinct elasticities for ν and μ will be poorly identified. All three happen.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Two very different things could produce that correlation. It may be a fact about the </w:t>
      </w:r>
      <w:r>
        <w:rPr>
          <w:rFonts w:ascii="Times New Roman" w:hAnsi="Times New Roman"/>
          <w:b w:val="0"/>
          <w:i/>
          <w:sz w:val="20"/>
          <w:rFonts w:ascii="Times New Roman" w:hAnsi="Times New Roman" w:cs="Times New Roman" w:eastAsia="Times New Roman"/>
        </w:rPr>
        <w:t>world</w:t>
      </w:r>
      <w:r>
        <w:rPr>
          <w:rFonts w:ascii="Times New Roman" w:hAnsi="Times New Roman"/>
          <w:b w:val="0"/>
          <w:i w:val="0"/>
          <w:sz w:val="20"/>
          <w:rFonts w:ascii="Times New Roman" w:hAnsi="Times New Roman" w:cs="Times New Roman" w:eastAsia="Times New Roman"/>
        </w:rPr>
        <w:t xml:space="preserve"> — genuinely new firm news usually </w:t>
      </w:r>
      <w:r>
        <w:rPr>
          <w:rFonts w:ascii="Times New Roman" w:hAnsi="Times New Roman"/>
          <w:b w:val="0"/>
          <w:i/>
          <w:sz w:val="20"/>
          <w:rFonts w:ascii="Times New Roman" w:hAnsi="Times New Roman" w:cs="Times New Roman" w:eastAsia="Times New Roman"/>
        </w:rPr>
        <w:t>is</w:t>
      </w:r>
      <w:r>
        <w:rPr>
          <w:rFonts w:ascii="Times New Roman" w:hAnsi="Times New Roman"/>
          <w:b w:val="0"/>
          <w:i w:val="0"/>
          <w:sz w:val="20"/>
          <w:rFonts w:ascii="Times New Roman" w:hAnsi="Times New Roman" w:cs="Times New Roman" w:eastAsia="Times New Roman"/>
        </w:rPr>
        <w:t xml:space="preserve"> the consequential news — or a fact about the </w:t>
      </w:r>
      <w:r>
        <w:rPr>
          <w:rFonts w:ascii="Times New Roman" w:hAnsi="Times New Roman"/>
          <w:b w:val="0"/>
          <w:i/>
          <w:sz w:val="20"/>
          <w:rFonts w:ascii="Times New Roman" w:hAnsi="Times New Roman" w:cs="Times New Roman" w:eastAsia="Times New Roman"/>
        </w:rPr>
        <w:t>instrument</w:t>
      </w:r>
      <w:r>
        <w:rPr>
          <w:rFonts w:ascii="Times New Roman" w:hAnsi="Times New Roman"/>
          <w:b w:val="0"/>
          <w:i w:val="0"/>
          <w:sz w:val="20"/>
          <w:rFonts w:ascii="Times New Roman" w:hAnsi="Times New Roman" w:cs="Times New Roman" w:eastAsia="Times New Roman"/>
        </w:rPr>
        <w:t>, an inability of the model to hold two related concepts apart under one prompt. The two have opposite implications for what a system owner should do next, so the screen exists to settle the question rather than leave it open.</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3. </w:t>
      </w:r>
      <w:r>
        <w:rPr>
          <w:rFonts w:ascii="Times New Roman" w:hAnsi="Times New Roman"/>
          <w:b w:val="0"/>
          <w:i w:val="0"/>
          <w:sz w:val="18"/>
          <w:rFonts w:ascii="Times New Roman" w:hAnsi="Times New Roman" w:cs="Times New Roman" w:eastAsia="Times New Roman"/>
        </w:rPr>
        <w:t>Descriptive statistics. Panel A covers the three attributes and their products at the level of the individual headline; Panel B covers the session-level aggregators, computed on symbol-sessions carrying at least one scored headline. The final column is the share of exactly-zero values, which is the share of events or sessions the gate vetoes outright.</w:t>
      </w:r>
    </w:p>
    <w:tbl>
      <w:tblPr>
        <w:tblW w:type="auto" w:w="0"/>
        <w:jc w:val="center"/>
        <w:tblLayout w:type="fixed"/>
        <w:tblLook w:firstColumn="1" w:firstRow="1" w:lastColumn="0" w:lastRow="0" w:noHBand="0" w:noVBand="1" w:val="04A0"/>
        <w:tblLayout w:type="fixed"/>
      </w:tblPr>
      <w:tblGrid>
        <w:gridCol w:w="1215"/>
        <w:gridCol w:w="1215"/>
        <w:gridCol w:w="1215"/>
        <w:gridCol w:w="1215"/>
        <w:gridCol w:w="1215"/>
        <w:gridCol w:w="1215"/>
        <w:gridCol w:w="1215"/>
      </w:tblGrid>
      <w:tr>
        <w:tc>
          <w:tcPr>
            <w:tcW w:type="dxa" w:w="2381"/>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Mean</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SD</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p25</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Median</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p75</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Zeros (%)</w:t>
            </w:r>
          </w:p>
        </w:tc>
      </w:tr>
      <w:tr>
        <w:tc>
          <w:tcPr>
            <w:tcW w:type="dxa" w:w="8501"/>
            <w:gridSpan w:val="7"/>
          </w:tcPr>
          <w:p>
            <w:pPr>
              <w:spacing w:before="80" w:after="40" w:line="240" w:lineRule="auto"/>
            </w:pPr>
            <w:r>
              <w:rPr>
                <w:rFonts w:ascii="Times New Roman" w:hAnsi="Times New Roman"/>
                <w:b w:val="0"/>
                <w:i/>
                <w:sz w:val="18"/>
                <w:rFonts w:ascii="Times New Roman" w:hAnsi="Times New Roman" w:cs="Times New Roman" w:eastAsia="Times New Roman"/>
              </w:rPr>
              <w:t>Panel A: per headline</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Polarity s</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0.039</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0.207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52.0</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Novelty ν</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0.189</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0.195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30.7</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Materiality μ</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0.157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0.166</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34.4</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Relevance r = νμ</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0.058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0.020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0.060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35.0</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Event signal a = sνμ</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0.056</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53.7</w:t>
            </w:r>
          </w:p>
        </w:tc>
      </w:tr>
      <w:tr>
        <w:tc>
          <w:tcPr>
            <w:tcW w:type="dxa" w:w="8501"/>
            <w:gridSpan w:val="7"/>
          </w:tcPr>
          <w:p>
            <w:pPr>
              <w:spacing w:before="80" w:after="40" w:line="240" w:lineRule="auto"/>
            </w:pPr>
            <w:r>
              <w:rPr>
                <w:rFonts w:ascii="Times New Roman" w:hAnsi="Times New Roman"/>
                <w:b w:val="0"/>
                <w:i/>
                <w:sz w:val="18"/>
                <w:rFonts w:ascii="Times New Roman" w:hAnsi="Times New Roman" w:cs="Times New Roman" w:eastAsia="Times New Roman"/>
              </w:rPr>
              <w:t>Panel B: per symbol-session</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Gated signal A</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0.006</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0.054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47.6</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Threshold-filtered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0.042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0.195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48.4</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Mean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0.038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0.154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36.8</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Count-weighted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0.058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0.227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36.8</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Additive combiner</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0.118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0.107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0.033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0.167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17.6</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Novelty gate only (sν)</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0.017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0.091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0.040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36.7</w:t>
            </w:r>
          </w:p>
        </w:tc>
      </w:tr>
      <w:tr>
        <w:tc>
          <w:tcPr>
            <w:tcW w:type="dxa" w:w="2381"/>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Materiality gate only (sμ)</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0.013</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0.079</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0.000</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0.040</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37.1</w:t>
            </w:r>
          </w:p>
        </w:tc>
      </w:tr>
    </w:tbl>
    <w:p>
      <w:pPr>
        <w:jc w:val="both"/>
        <w:spacing w:before="60" w:after="200" w:line="240" w:lineRule="auto"/>
      </w:pPr>
      <w:r>
        <w:rPr>
          <w:rFonts w:ascii="Times New Roman" w:hAnsi="Times New Roman"/>
          <w:b w:val="0"/>
          <w:i w:val="0"/>
          <w:sz w:val="18"/>
          <w:rFonts w:ascii="Times New Roman" w:hAnsi="Times New Roman" w:cs="Times New Roman" w:eastAsia="Times New Roman"/>
        </w:rPr>
        <w:t>The correlation between novelty and materiality across all events is 0.871: the two gates are close to the same variable, which is the single fact behind most of what follows.</w:t>
      </w:r>
    </w:p>
    <w:p>
      <w:pPr>
        <w:jc w:val="center"/>
        <w:spacing w:before="200" w:after="80" w:line="240" w:lineRule="auto"/>
        <w:keepNext/>
      </w:pPr>
      <w:r>
        <w:drawing>
          <wp:inline xmlns:a="http://schemas.openxmlformats.org/drawingml/2006/main" xmlns:pic="http://schemas.openxmlformats.org/drawingml/2006/picture">
            <wp:extent cx="4206240" cy="1360552"/>
            <wp:docPr id="1" name="Picture 1"/>
            <wp:cNvGraphicFramePr>
              <a:graphicFrameLocks noChangeAspect="1"/>
            </wp:cNvGraphicFramePr>
            <a:graphic>
              <a:graphicData uri="http://schemas.openxmlformats.org/drawingml/2006/picture">
                <pic:pic>
                  <pic:nvPicPr>
                    <pic:cNvPr id="0" name="fig1_axes_veto.png"/>
                    <pic:cNvPicPr/>
                  </pic:nvPicPr>
                  <pic:blipFill>
                    <a:blip r:embed="rId11"/>
                    <a:stretch>
                      <a:fillRect/>
                    </a:stretch>
                  </pic:blipFill>
                  <pic:spPr>
                    <a:xfrm>
                      <a:off x="0" y="0"/>
                      <a:ext cx="4206240" cy="1360552"/>
                    </a:xfrm>
                    <a:prstGeom prst="rect"/>
                  </pic:spPr>
                </pic:pic>
              </a:graphicData>
            </a:graphic>
          </wp:inline>
        </w:drawing>
      </w:r>
    </w:p>
    <w:p>
      <w:pPr>
        <w:jc w:val="both"/>
        <w:spacing w:before="0" w:after="200" w:line="240" w:lineRule="auto"/>
      </w:pPr>
      <w:r>
        <w:rPr>
          <w:rFonts w:ascii="Times New Roman" w:hAnsi="Times New Roman"/>
          <w:b/>
          <w:i/>
          <w:sz w:val="18"/>
          <w:rFonts w:ascii="Times New Roman" w:hAnsi="Times New Roman" w:cs="Times New Roman" w:eastAsia="Times New Roman"/>
        </w:rPr>
        <w:t xml:space="preserve">Figure 1. </w:t>
      </w:r>
      <w:r>
        <w:rPr>
          <w:rFonts w:ascii="Times New Roman" w:hAnsi="Times New Roman"/>
          <w:b w:val="0"/>
          <w:i w:val="0"/>
          <w:sz w:val="18"/>
          <w:rFonts w:ascii="Times New Roman" w:hAnsi="Times New Roman" w:cs="Times New Roman" w:eastAsia="Times New Roman"/>
        </w:rPr>
        <w:t>The three attributes and the veto they implement, measured on 134,037 scored headlines. (a) Marginal distributions of novelty and materiality; the model reports on a coarse grid, so the honest display is a discrete bar chart. (b) Joint mass of the two gates, on a power-law colour scale so the sparse high-novelty, high-materiality cells remain visible. (c) The gated session aggregate against the mean absolute polarity of the same session: almost every point lies below the 45-degree line, which is Proposition 1 in the data.</w:t>
      </w:r>
    </w:p>
    <w:p>
      <w:pPr>
        <w:spacing w:before="160" w:after="80" w:line="240" w:lineRule="auto"/>
      </w:pPr>
      <w:r>
        <w:rPr>
          <w:rFonts w:ascii="Times New Roman" w:hAnsi="Times New Roman"/>
          <w:b/>
          <w:i/>
          <w:sz w:val="22"/>
          <w:rFonts w:ascii="Times New Roman" w:hAnsi="Times New Roman" w:cs="Times New Roman" w:eastAsia="Times New Roman"/>
        </w:rPr>
        <w:t>4.3. Screen outcome: does each attribute track its own criterion?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Each attribute has an external criterion it must track if it measures what it claims, and neither criterion required further model calls.</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Novelty should track mechanical staleness.</w:t>
      </w:r>
      <w:r>
        <w:rPr>
          <w:rFonts w:ascii="Times New Roman" w:hAnsi="Times New Roman"/>
          <w:b w:val="0"/>
          <w:i w:val="0"/>
          <w:sz w:val="20"/>
          <w:rFonts w:ascii="Times New Roman" w:hAnsi="Times New Roman" w:cs="Times New Roman" w:eastAsia="Times New Roman"/>
        </w:rPr>
        <w:t xml:space="preserve"> Following the stale-news literature [11], we measure how much a headline repeats what was already written about the same ticker: one minus the maximum TF-IDF cosine similarity to that ticker's headlines over the preceding thirty days. The comparison set is strictly earlier in time, so the measure is causal and uses no returns. It is available for 99.9% of headlines (133,933 of 134,037), with a median of 38 prior documents.</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Materiality should track outcome magnitude.</w:t>
      </w:r>
      <w:r>
        <w:rPr>
          <w:rFonts w:ascii="Times New Roman" w:hAnsi="Times New Roman"/>
          <w:b w:val="0"/>
          <w:i w:val="0"/>
          <w:sz w:val="20"/>
          <w:rFonts w:ascii="Times New Roman" w:hAnsi="Times New Roman" w:cs="Times New Roman" w:eastAsia="Times New Roman"/>
        </w:rPr>
        <w:t xml:space="preserve"> Materiality is defined as the sensitivity of value to an event </w:t>
      </w:r>
      <w:r>
        <w:rPr>
          <w:rFonts w:ascii="Times New Roman" w:hAnsi="Times New Roman"/>
          <w:b w:val="0"/>
          <w:i/>
          <w:sz w:val="20"/>
          <w:rFonts w:ascii="Times New Roman" w:hAnsi="Times New Roman" w:cs="Times New Roman" w:eastAsia="Times New Roman"/>
        </w:rPr>
        <w:t>regardless of direction</w:t>
      </w:r>
      <w:r>
        <w:rPr>
          <w:rFonts w:ascii="Times New Roman" w:hAnsi="Times New Roman"/>
          <w:b w:val="0"/>
          <w:i w:val="0"/>
          <w:sz w:val="20"/>
          <w:rFonts w:ascii="Times New Roman" w:hAnsi="Times New Roman" w:cs="Times New Roman" w:eastAsia="Times New Roman"/>
        </w:rPr>
        <w:t>, so it should predict the absolute market-adjusted return of the session. The screen separates the two attributes sharply, but not in the direction the design needs.</w:t>
      </w:r>
    </w:p>
    <w:p>
      <w:pPr>
        <w:ind w:firstLine="425"/>
        <w:jc w:val="both"/>
        <w:spacing w:before="0" w:after="0" w:line="240" w:lineRule="auto"/>
      </w:pPr>
      <w:r>
        <w:rPr>
          <w:rFonts w:ascii="Times New Roman" w:hAnsi="Times New Roman"/>
          <w:b/>
          <w:i w:val="0"/>
          <w:sz w:val="20"/>
          <w:rFonts w:ascii="Times New Roman" w:hAnsi="Times New Roman" w:cs="Times New Roman" w:eastAsia="Times New Roman"/>
        </w:rPr>
        <w:t>Novelty fails its own criterion.</w:t>
      </w:r>
      <w:r>
        <w:rPr>
          <w:rFonts w:ascii="Times New Roman" w:hAnsi="Times New Roman"/>
          <w:b w:val="0"/>
          <w:i w:val="0"/>
          <w:sz w:val="20"/>
          <w:rFonts w:ascii="Times New Roman" w:hAnsi="Times New Roman" w:cs="Times New Roman" w:eastAsia="Times New Roman"/>
        </w:rPr>
        <w:t xml:space="preserve"> Figure 2(a) plots both attributes against deciles of mechanical novelty, and the two curves are the same curve: parallel, identically shaped, separated by a constant. The relationship is also non-monotonic, rising from 0.167 at the stalest decile to 0.230 at decile 4 and then falling to 0.093 at the most lexically novel decile — the model assigns its </w:t>
      </w:r>
      <w:r>
        <w:rPr>
          <w:rFonts w:ascii="Times New Roman" w:hAnsi="Times New Roman"/>
          <w:b w:val="0"/>
          <w:i/>
          <w:sz w:val="20"/>
          <w:rFonts w:ascii="Times New Roman" w:hAnsi="Times New Roman" w:cs="Times New Roman" w:eastAsia="Times New Roman"/>
        </w:rPr>
        <w:t>lowest</w:t>
      </w:r>
      <w:r>
        <w:rPr>
          <w:rFonts w:ascii="Times New Roman" w:hAnsi="Times New Roman"/>
          <w:b w:val="0"/>
          <w:i w:val="0"/>
          <w:sz w:val="20"/>
          <w:rFonts w:ascii="Times New Roman" w:hAnsi="Times New Roman" w:cs="Times New Roman" w:eastAsia="Times New Roman"/>
        </w:rPr>
        <w:t xml:space="preserve"> novelty to the headlines that share least vocabulary with recent coverage. Controlling for materiality and for the size of the comparison set, novelty's standardised coefficient on staleness is -0.033 (t = -6.51) against materiality's -0.022 (t = -3.91): distinguishable from zero, but essentially the same number, so novelty carries no staleness information that materiality does not carry equally. The partial correlations tell the same story — -0.014 for novelty given materiality, -0.014 for materiality given novelty — as does the dense subsample with at least twenty prior documents (-0.155 and -0.157, identical to three decimals). Step 3 of the screen earns its place here: the raw rank correlation between the novelty attribute and mechanical novelty is -0.159, which read alone would suggest a modest inverse relation rather than the hump the decile profile actually shows.</w:t>
      </w:r>
    </w:p>
    <w:p>
      <w:pPr>
        <w:ind w:firstLine="425"/>
        <w:jc w:val="both"/>
        <w:spacing w:before="0" w:after="0" w:line="240" w:lineRule="auto"/>
      </w:pPr>
      <w:r>
        <w:rPr>
          <w:rFonts w:ascii="Times New Roman" w:hAnsi="Times New Roman"/>
          <w:b/>
          <w:i w:val="0"/>
          <w:sz w:val="20"/>
          <w:rFonts w:ascii="Times New Roman" w:hAnsi="Times New Roman" w:cs="Times New Roman" w:eastAsia="Times New Roman"/>
        </w:rPr>
        <w:t>Materiality passes its own criterion, decisively.</w:t>
      </w:r>
      <w:r>
        <w:rPr>
          <w:rFonts w:ascii="Times New Roman" w:hAnsi="Times New Roman"/>
          <w:b w:val="0"/>
          <w:i w:val="0"/>
          <w:sz w:val="20"/>
          <w:rFonts w:ascii="Times New Roman" w:hAnsi="Times New Roman" w:cs="Times New Roman" w:eastAsia="Times New Roman"/>
        </w:rPr>
        <w:t xml:space="preserve"> Over 130,828 events, a one standard deviation increase in materiality is followed by 54.3 additional basis points of absolute market-adjusted return (t = 12.70, clustered by date), while novelty enters the same regression with the </w:t>
      </w:r>
      <w:r>
        <w:rPr>
          <w:rFonts w:ascii="Times New Roman" w:hAnsi="Times New Roman"/>
          <w:b w:val="0"/>
          <w:i/>
          <w:sz w:val="20"/>
          <w:rFonts w:ascii="Times New Roman" w:hAnsi="Times New Roman" w:cs="Times New Roman" w:eastAsia="Times New Roman"/>
        </w:rPr>
        <w:t>opposite</w:t>
      </w:r>
      <w:r>
        <w:rPr>
          <w:rFonts w:ascii="Times New Roman" w:hAnsi="Times New Roman"/>
          <w:b w:val="0"/>
          <w:i w:val="0"/>
          <w:sz w:val="20"/>
          <w:rFonts w:ascii="Times New Roman" w:hAnsi="Times New Roman" w:cs="Times New Roman" w:eastAsia="Times New Roman"/>
        </w:rPr>
        <w:t xml:space="preserve"> sign at -26.3 basis points (t = -8.69). Whatever common factor drives the 0.871 correlation, the materiality label is the one that aligns with a real external quantity; conditional on it, the novelty label points the wrong way (Figure 2(b)).</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verdict is therefore </w:t>
      </w:r>
      <w:r>
        <w:rPr>
          <w:rFonts w:ascii="Times New Roman" w:hAnsi="Times New Roman"/>
          <w:b w:val="0"/>
          <w:i/>
          <w:sz w:val="20"/>
          <w:rFonts w:ascii="Times New Roman" w:hAnsi="Times New Roman" w:cs="Times New Roman" w:eastAsia="Times New Roman"/>
        </w:rPr>
        <w:t>instrument</w:t>
      </w:r>
      <w:r>
        <w:rPr>
          <w:rFonts w:ascii="Times New Roman" w:hAnsi="Times New Roman"/>
          <w:b w:val="0"/>
          <w:i w:val="0"/>
          <w:sz w:val="20"/>
          <w:rFonts w:ascii="Times New Roman" w:hAnsi="Times New Roman" w:cs="Times New Roman" w:eastAsia="Times New Roman"/>
        </w:rPr>
        <w:t>, and specifically the novelty attribute. The model is largely reporting a single latent importance judgement on two channels; the channel labelled materiality happens to align with event magnitude, and the channel labelled novelty does not measure novelty in the sense the design requires.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Step 5 of the screen then supplies the implication that matters most, and supplies it before any forecasting model exists. The surviving attribute, materiality, predicts the </w:t>
      </w:r>
      <w:r>
        <w:rPr>
          <w:rFonts w:ascii="Times New Roman" w:hAnsi="Times New Roman"/>
          <w:b/>
          <w:i w:val="0"/>
          <w:sz w:val="20"/>
          <w:rFonts w:ascii="Times New Roman" w:hAnsi="Times New Roman" w:cs="Times New Roman" w:eastAsia="Times New Roman"/>
        </w:rPr>
        <w:t>magnitude</w:t>
      </w:r>
      <w:r>
        <w:rPr>
          <w:rFonts w:ascii="Times New Roman" w:hAnsi="Times New Roman"/>
          <w:b w:val="0"/>
          <w:i w:val="0"/>
          <w:sz w:val="20"/>
          <w:rFonts w:ascii="Times New Roman" w:hAnsi="Times New Roman" w:cs="Times New Roman" w:eastAsia="Times New Roman"/>
        </w:rPr>
        <w:t xml:space="preserve"> of the move and not its </w:t>
      </w:r>
      <w:r>
        <w:rPr>
          <w:rFonts w:ascii="Times New Roman" w:hAnsi="Times New Roman"/>
          <w:b/>
          <w:i w:val="0"/>
          <w:sz w:val="20"/>
          <w:rFonts w:ascii="Times New Roman" w:hAnsi="Times New Roman" w:cs="Times New Roman" w:eastAsia="Times New Roman"/>
        </w:rPr>
        <w:t>direction</w:t>
      </w:r>
      <w:r>
        <w:rPr>
          <w:rFonts w:ascii="Times New Roman" w:hAnsi="Times New Roman"/>
          <w:b w:val="0"/>
          <w:i w:val="0"/>
          <w:sz w:val="20"/>
          <w:rFonts w:ascii="Times New Roman" w:hAnsi="Times New Roman" w:cs="Times New Roman" w:eastAsia="Times New Roman"/>
        </w:rPr>
        <w:t xml:space="preserve"> — exactly what its definition promises. But Eq. (1) multiplies it into a </w:t>
      </w:r>
      <w:r>
        <w:rPr>
          <w:rFonts w:ascii="Times New Roman" w:hAnsi="Times New Roman"/>
          <w:b w:val="0"/>
          <w:i/>
          <w:sz w:val="20"/>
          <w:rFonts w:ascii="Times New Roman" w:hAnsi="Times New Roman" w:cs="Times New Roman" w:eastAsia="Times New Roman"/>
        </w:rPr>
        <w:t>directional</w:t>
      </w:r>
      <w:r>
        <w:rPr>
          <w:rFonts w:ascii="Times New Roman" w:hAnsi="Times New Roman"/>
          <w:b w:val="0"/>
          <w:i w:val="0"/>
          <w:sz w:val="20"/>
          <w:rFonts w:ascii="Times New Roman" w:hAnsi="Times New Roman" w:cs="Times New Roman" w:eastAsia="Times New Roman"/>
        </w:rPr>
        <w:t xml:space="preserve"> signal. A quantity carrying information about how large a move will be cannot improve a forecast of which way it will go. That is the cleanest explanation for the materiality exponent estimating at zero in Section 4.6, and it was available from the screen alone.</w:t>
      </w:r>
    </w:p>
    <w:p>
      <w:pPr>
        <w:jc w:val="center"/>
        <w:spacing w:before="200" w:after="80" w:line="240" w:lineRule="auto"/>
        <w:keepNext/>
      </w:pPr>
      <w:r>
        <w:drawing>
          <wp:inline xmlns:a="http://schemas.openxmlformats.org/drawingml/2006/main" xmlns:pic="http://schemas.openxmlformats.org/drawingml/2006/picture">
            <wp:extent cx="4206240" cy="1556485"/>
            <wp:docPr id="2" name="Picture 2"/>
            <wp:cNvGraphicFramePr>
              <a:graphicFrameLocks noChangeAspect="1"/>
            </wp:cNvGraphicFramePr>
            <a:graphic>
              <a:graphicData uri="http://schemas.openxmlformats.org/drawingml/2006/picture">
                <pic:pic>
                  <pic:nvPicPr>
                    <pic:cNvPr id="0" name="fig6_convergent_validity.png"/>
                    <pic:cNvPicPr/>
                  </pic:nvPicPr>
                  <pic:blipFill>
                    <a:blip r:embed="rId12"/>
                    <a:stretch>
                      <a:fillRect/>
                    </a:stretch>
                  </pic:blipFill>
                  <pic:spPr>
                    <a:xfrm>
                      <a:off x="0" y="0"/>
                      <a:ext cx="4206240" cy="1556485"/>
                    </a:xfrm>
                    <a:prstGeom prst="rect"/>
                  </pic:spPr>
                </pic:pic>
              </a:graphicData>
            </a:graphic>
          </wp:inline>
        </w:drawing>
      </w:r>
    </w:p>
    <w:p>
      <w:pPr>
        <w:jc w:val="both"/>
        <w:spacing w:before="0" w:after="200" w:line="240" w:lineRule="auto"/>
      </w:pPr>
      <w:r>
        <w:rPr>
          <w:rFonts w:ascii="Times New Roman" w:hAnsi="Times New Roman"/>
          <w:b/>
          <w:i/>
          <w:sz w:val="18"/>
          <w:rFonts w:ascii="Times New Roman" w:hAnsi="Times New Roman" w:cs="Times New Roman" w:eastAsia="Times New Roman"/>
        </w:rPr>
        <w:t xml:space="preserve">Figure 2. </w:t>
      </w:r>
      <w:r>
        <w:rPr>
          <w:rFonts w:ascii="Times New Roman" w:hAnsi="Times New Roman"/>
          <w:b w:val="0"/>
          <w:i w:val="0"/>
          <w:sz w:val="18"/>
          <w:rFonts w:ascii="Times New Roman" w:hAnsi="Times New Roman" w:cs="Times New Roman" w:eastAsia="Times New Roman"/>
        </w:rPr>
        <w:t>The construct-validity screen. (a) Mean novelty and mean materiality across deciles of mechanical novelty: the two curves are parallel and identically shaped, which is what one variable measured twice looks like, and both are non-monotonic in mechanical novelty. (b) Standardised coefficients of each attribute on each criterion, in standard deviations of criterion per standard deviation of attribute, with 95% intervals from date-clustered standard errors. Materiality predicts absolute return strongly; novelty does not track mechanical staleness beyond what materiality already tracks.</w:t>
      </w:r>
    </w:p>
    <w:p>
      <w:pPr>
        <w:spacing w:before="160" w:after="80" w:line="240" w:lineRule="auto"/>
      </w:pPr>
      <w:r>
        <w:rPr>
          <w:rFonts w:ascii="Times New Roman" w:hAnsi="Times New Roman"/>
          <w:b/>
          <w:i/>
          <w:sz w:val="22"/>
          <w:rFonts w:ascii="Times New Roman" w:hAnsi="Times New Roman" w:cs="Times New Roman" w:eastAsia="Times New Roman"/>
        </w:rPr>
        <w:t>4.4. Predictive content of the aggregators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gated aggregate does predict returns. At the one-session horizon a one standard deviation move in A is followed by 12.2 basis points of market-adjusted return, with a two-way clustered t of 4.14 and a Fama-MacBeth t of 3.70; its rank information coefficient is 0.0230, averaged over 2,548 trading days with a Newey-West t of 4.44. At five sessions the effect is 17.8 basis points (t = 2.12) on non-overlapping windows. By twenty-one sessions nothing survives: every aggregator has |t| &lt; 0.9, which is what one expects of headline-level information at a monthly horizon.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So the text carries signal. The question the study exists to answer is whether the </w:t>
      </w:r>
      <w:r>
        <w:rPr>
          <w:rFonts w:ascii="Times New Roman" w:hAnsi="Times New Roman"/>
          <w:b/>
          <w:i w:val="0"/>
          <w:sz w:val="20"/>
          <w:rFonts w:ascii="Times New Roman" w:hAnsi="Times New Roman" w:cs="Times New Roman" w:eastAsia="Times New Roman"/>
        </w:rPr>
        <w:t>product</w:t>
      </w:r>
      <w:r>
        <w:rPr>
          <w:rFonts w:ascii="Times New Roman" w:hAnsi="Times New Roman"/>
          <w:b w:val="0"/>
          <w:i w:val="0"/>
          <w:sz w:val="20"/>
          <w:rFonts w:ascii="Times New Roman" w:hAnsi="Times New Roman" w:cs="Times New Roman" w:eastAsia="Times New Roman"/>
        </w:rPr>
        <w:t xml:space="preserve"> carries more of it than the recipes it was meant to displace, and Table 5 says it does not. At one session, mean polarity earns a </w:t>
      </w:r>
      <w:r>
        <w:rPr>
          <w:rFonts w:ascii="Times New Roman" w:hAnsi="Times New Roman"/>
          <w:b w:val="0"/>
          <w:i/>
          <w:sz w:val="20"/>
          <w:rFonts w:ascii="Times New Roman" w:hAnsi="Times New Roman" w:cs="Times New Roman" w:eastAsia="Times New Roman"/>
        </w:rPr>
        <w:t>higher</w:t>
      </w:r>
      <w:r>
        <w:rPr>
          <w:rFonts w:ascii="Times New Roman" w:hAnsi="Times New Roman"/>
          <w:b w:val="0"/>
          <w:i w:val="0"/>
          <w:sz w:val="20"/>
          <w:rFonts w:ascii="Times New Roman" w:hAnsi="Times New Roman" w:cs="Times New Roman" w:eastAsia="Times New Roman"/>
        </w:rPr>
        <w:t xml:space="preserve"> t-statistic than the gated aggregate (5.52 against 4.14); count-weighted polarity produces a larger coefficient still (14.1 basis points) and the highest information-coefficient t-statistic of the seven (4.72); and threshold-filtered polarity — the recipe a practitioner would actually deploy — matches the product almost exactly (10.0 basis points). The information coefficients of the gated aggregate, threshold-filtered polarity and count-weighted polarity are 0.0230, 0.0230 and 0.0228: identical for any practical purpose. The one aggregator that clearly underperforms is the additive combiner at 3.3 basis points and 0.0102, which is worth stating plainly. </w:t>
      </w:r>
      <w:r>
        <w:rPr>
          <w:rFonts w:ascii="Times New Roman" w:hAnsi="Times New Roman"/>
          <w:b/>
          <w:i w:val="0"/>
          <w:sz w:val="20"/>
          <w:rFonts w:ascii="Times New Roman" w:hAnsi="Times New Roman" w:cs="Times New Roman" w:eastAsia="Times New Roman"/>
        </w:rPr>
        <w:t>Adding</w:t>
      </w:r>
      <w:r>
        <w:rPr>
          <w:rFonts w:ascii="Times New Roman" w:hAnsi="Times New Roman"/>
          <w:b w:val="0"/>
          <w:i w:val="0"/>
          <w:sz w:val="20"/>
          <w:rFonts w:ascii="Times New Roman" w:hAnsi="Times New Roman" w:cs="Times New Roman" w:eastAsia="Times New Roman"/>
        </w:rPr>
        <w:t xml:space="preserve"> the three attributes is a bad idea, so the argument against additive combination in Section 3.2 survives; it is the step from a filter to a product that does not pay. Figure 3 makes the overlap visible: at the horizons where anything is estimable, the confidence intervals of all seven aggregators sit on top of one another.</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5. </w:t>
      </w:r>
      <w:r>
        <w:rPr>
          <w:rFonts w:ascii="Times New Roman" w:hAnsi="Times New Roman"/>
          <w:b w:val="0"/>
          <w:i w:val="0"/>
          <w:sz w:val="18"/>
          <w:rFonts w:ascii="Times New Roman" w:hAnsi="Times New Roman" w:cs="Times New Roman" w:eastAsia="Times New Roman"/>
        </w:rPr>
        <w:t>Predictive regressions of forward market-adjusted returns on each aggregator, one aggregator at a time. Regressors are standardised, so a coefficient reads as basis points of forward return per one standard deviation of signal. Standard errors are two-way clustered by date and symbol; horizons beyond one session use non-overlapping windows. Stars mark significance at the 10%, 5% and 1% levels.</w:t>
      </w:r>
    </w:p>
    <w:tbl>
      <w:tblPr>
        <w:tblW w:type="auto" w:w="0"/>
        <w:jc w:val="center"/>
        <w:tblLayout w:type="fixed"/>
        <w:tblLook w:firstColumn="1" w:firstRow="1" w:lastColumn="0" w:lastRow="0" w:noHBand="0" w:noVBand="1" w:val="04A0"/>
        <w:tblLayout w:type="fixed"/>
      </w:tblPr>
      <w:tblGrid>
        <w:gridCol w:w="1215"/>
        <w:gridCol w:w="1215"/>
        <w:gridCol w:w="1215"/>
        <w:gridCol w:w="1215"/>
        <w:gridCol w:w="1215"/>
        <w:gridCol w:w="1215"/>
        <w:gridCol w:w="1215"/>
      </w:tblGrid>
      <w:tr>
        <w:tc>
          <w:tcPr>
            <w:tcW w:type="dxa" w:w="2381"/>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t>Aggregator</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H=1 bps</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t</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H=5 bps</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t</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H=21 bps</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t</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Gated signal A</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12.2***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4.14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17.8**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2.12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11.7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0.60</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Threshold-filtered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10.0***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5.11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12.5*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1.82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10.4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0.46</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Mean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9.3***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5.52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13.6**</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2.03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18.5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0.87</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Count-weighted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14.1***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4.78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17.1**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2.29</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14.3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0.62</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Additive combiner</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3.82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3.9</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0.71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-0.16</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Novelty gate only (sν)</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11.1***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4.71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15.8**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2.14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7.3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0.38</w:t>
            </w:r>
          </w:p>
        </w:tc>
      </w:tr>
      <w:tr>
        <w:tc>
          <w:tcPr>
            <w:tcW w:type="dxa" w:w="2381"/>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Materiality gate only (sμ)</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11.9***</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4.53</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15.1*</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1.89</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10.8</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0.60</w:t>
            </w:r>
          </w:p>
        </w:tc>
      </w:tr>
    </w:tbl>
    <w:p>
      <w:pPr>
        <w:jc w:val="both"/>
        <w:spacing w:before="60" w:after="200" w:line="240" w:lineRule="auto"/>
      </w:pPr>
      <w:r>
        <w:rPr>
          <w:rFonts w:ascii="Times New Roman" w:hAnsi="Times New Roman"/>
          <w:b w:val="0"/>
          <w:i w:val="0"/>
          <w:sz w:val="18"/>
          <w:rFonts w:ascii="Times New Roman" w:hAnsi="Times New Roman" w:cs="Times New Roman" w:eastAsia="Times New Roman"/>
        </w:rPr>
        <w:t>Largest estimation sample: 48,260 symbol-sessions.</w:t>
      </w:r>
    </w:p>
    <w:p>
      <w:pPr>
        <w:jc w:val="center"/>
        <w:spacing w:before="200" w:after="80" w:line="240" w:lineRule="auto"/>
        <w:keepNext/>
      </w:pPr>
      <w:r>
        <w:drawing>
          <wp:inline xmlns:a="http://schemas.openxmlformats.org/drawingml/2006/main" xmlns:pic="http://schemas.openxmlformats.org/drawingml/2006/picture">
            <wp:extent cx="4206240" cy="1497602"/>
            <wp:docPr id="3" name="Picture 3"/>
            <wp:cNvGraphicFramePr>
              <a:graphicFrameLocks noChangeAspect="1"/>
            </wp:cNvGraphicFramePr>
            <a:graphic>
              <a:graphicData uri="http://schemas.openxmlformats.org/drawingml/2006/picture">
                <pic:pic>
                  <pic:nvPicPr>
                    <pic:cNvPr id="0" name="fig2_univariate.png"/>
                    <pic:cNvPicPr/>
                  </pic:nvPicPr>
                  <pic:blipFill>
                    <a:blip r:embed="rId13"/>
                    <a:stretch>
                      <a:fillRect/>
                    </a:stretch>
                  </pic:blipFill>
                  <pic:spPr>
                    <a:xfrm>
                      <a:off x="0" y="0"/>
                      <a:ext cx="4206240" cy="1497602"/>
                    </a:xfrm>
                    <a:prstGeom prst="rect"/>
                  </pic:spPr>
                </pic:pic>
              </a:graphicData>
            </a:graphic>
          </wp:inline>
        </w:drawing>
      </w:r>
    </w:p>
    <w:p>
      <w:pPr>
        <w:jc w:val="both"/>
        <w:spacing w:before="0" w:after="200" w:line="240" w:lineRule="auto"/>
      </w:pPr>
      <w:r>
        <w:rPr>
          <w:rFonts w:ascii="Times New Roman" w:hAnsi="Times New Roman"/>
          <w:b/>
          <w:i/>
          <w:sz w:val="18"/>
          <w:rFonts w:ascii="Times New Roman" w:hAnsi="Times New Roman" w:cs="Times New Roman" w:eastAsia="Times New Roman"/>
        </w:rPr>
        <w:t xml:space="preserve">Figure 3. </w:t>
      </w:r>
      <w:r>
        <w:rPr>
          <w:rFonts w:ascii="Times New Roman" w:hAnsi="Times New Roman"/>
          <w:b w:val="0"/>
          <w:i w:val="0"/>
          <w:sz w:val="18"/>
          <w:rFonts w:ascii="Times New Roman" w:hAnsi="Times New Roman" w:cs="Times New Roman" w:eastAsia="Times New Roman"/>
        </w:rPr>
        <w:t>Forward-return coefficient on each aggregator, in basis points per one standard deviation of signal, with 95% intervals from two-way clustered standard errors. The gated signal is highlighted; the alternatives are shown in neutral ink.</w:t>
      </w:r>
    </w:p>
    <w:p>
      <w:pPr>
        <w:spacing w:before="160" w:after="80" w:line="240" w:lineRule="auto"/>
      </w:pPr>
      <w:r>
        <w:rPr>
          <w:rFonts w:ascii="Times New Roman" w:hAnsi="Times New Roman"/>
          <w:b/>
          <w:i/>
          <w:sz w:val="22"/>
          <w:rFonts w:ascii="Times New Roman" w:hAnsi="Times New Roman" w:cs="Times New Roman" w:eastAsia="Times New Roman"/>
        </w:rPr>
        <w:t>4.5. The nested horse race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Entering all four terms together (Table 6) was intended to be the sharp test: multiplicative gating predicts that the product loads and absorbs the lower-order terms. What happens instead is that nothing is individually identified. At one session the gated aggregate carries the largest coefficient but only t = 1.58, while mean polarity falls to t = 1.26 and the two single-gate ablations take opposite signs. At five and twenty-one sessions the coefficients grow large and alternate in sign, with |t| &lt; 2 throughout.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This pattern is diagnostic of collinearity, not of a hidden effect, and Section 4.2 already said why: with ν and μ correlated at 0.871 and all four regressors built from the same polarity, the design matrix is close to singular and the individual coefficients are not separately estimable. We therefore decline to read anything into the sign or size of any single term. The honest conclusion is a statement about what the data </w:t>
      </w:r>
      <w:r>
        <w:rPr>
          <w:rFonts w:ascii="Times New Roman" w:hAnsi="Times New Roman"/>
          <w:b/>
          <w:i w:val="0"/>
          <w:sz w:val="20"/>
          <w:rFonts w:ascii="Times New Roman" w:hAnsi="Times New Roman" w:cs="Times New Roman" w:eastAsia="Times New Roman"/>
        </w:rPr>
        <w:t>cannot</w:t>
      </w:r>
      <w:r>
        <w:rPr>
          <w:rFonts w:ascii="Times New Roman" w:hAnsi="Times New Roman"/>
          <w:b w:val="0"/>
          <w:i w:val="0"/>
          <w:sz w:val="20"/>
          <w:rFonts w:ascii="Times New Roman" w:hAnsi="Times New Roman" w:cs="Times New Roman" w:eastAsia="Times New Roman"/>
        </w:rPr>
        <w:t xml:space="preserve"> answer: on this corpus the nested horse race lacks the power to distinguish the product from its components.</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6. </w:t>
      </w:r>
      <w:r>
        <w:rPr>
          <w:rFonts w:ascii="Times New Roman" w:hAnsi="Times New Roman"/>
          <w:b w:val="0"/>
          <w:i w:val="0"/>
          <w:sz w:val="18"/>
          <w:rFonts w:ascii="Times New Roman" w:hAnsi="Times New Roman" w:cs="Times New Roman" w:eastAsia="Times New Roman"/>
        </w:rPr>
        <w:t>The nested horse race. All four terms enter one regression, so each coefficient is the marginal contribution of that term given the others. Multiplicative gating predicts that the gated signal loads and absorbs the lower-order terms. Regressors are standardised; t-statistics are two-way clustered.</w:t>
      </w:r>
    </w:p>
    <w:tbl>
      <w:tblPr>
        <w:tblW w:type="auto" w:w="0"/>
        <w:jc w:val="center"/>
        <w:tblLayout w:type="fixed"/>
        <w:tblLook w:firstColumn="1" w:firstRow="1" w:lastColumn="0" w:lastRow="0" w:noHBand="0" w:noVBand="1" w:val="04A0"/>
        <w:tblLayout w:type="fixed"/>
      </w:tblPr>
      <w:tblGrid>
        <w:gridCol w:w="1215"/>
        <w:gridCol w:w="1215"/>
        <w:gridCol w:w="1215"/>
        <w:gridCol w:w="1215"/>
        <w:gridCol w:w="1215"/>
        <w:gridCol w:w="1215"/>
        <w:gridCol w:w="1215"/>
      </w:tblGrid>
      <w:tr>
        <w:tc>
          <w:tcPr>
            <w:tcW w:type="dxa" w:w="2381"/>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t>Term</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H=1 bps</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t</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H=5 bps</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t</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H=21 bps</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t</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Mean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6.2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1.26</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23.1*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1.92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85.5*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1.76</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Novelty gate only (sν)</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-9.1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-1.30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-15.2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-0.63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-103.8*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-1.77</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Materiality gate only (sμ)</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-36.2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-1.25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-64.7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-0.59</w:t>
            </w:r>
          </w:p>
        </w:tc>
      </w:tr>
      <w:tr>
        <w:tc>
          <w:tcPr>
            <w:tcW w:type="dxa" w:w="2381"/>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Gated signal A</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16.3</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1.58</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50.3</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1.33</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111.8</w:t>
            </w:r>
          </w:p>
        </w:tc>
        <w:tc>
          <w:tcPr>
            <w:tcW w:type="dxa" w:w="1020"/>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0.98</w:t>
            </w:r>
          </w:p>
        </w:tc>
      </w:tr>
    </w:tbl>
    <w:p>
      <w:pPr>
        <w:spacing w:before="0" w:after="160" w:line="240" w:lineRule="auto"/>
      </w:pPr>
    </w:p>
    <w:p>
      <w:pPr>
        <w:spacing w:before="160" w:after="80" w:line="240" w:lineRule="auto"/>
      </w:pPr>
      <w:r>
        <w:rPr>
          <w:rFonts w:ascii="Times New Roman" w:hAnsi="Times New Roman"/>
          <w:b/>
          <w:i/>
          <w:sz w:val="22"/>
          <w:rFonts w:ascii="Times New Roman" w:hAnsi="Times New Roman" w:cs="Times New Roman" w:eastAsia="Times New Roman"/>
        </w:rPr>
        <w:t>4.6. Free exponents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horse race cannot separate the terms, but the exponent grid asks a cleaner question, because it varies the functional form directly instead of trying to identify collinear regressors. Proposition 2 left α and β free; here we estimate them by sweeping the aggregate built from sν</w:t>
      </w:r>
      <w:r>
        <w:rPr>
          <w:rFonts w:ascii="Times New Roman" w:hAnsi="Times New Roman"/>
          <w:b w:val="0"/>
          <w:i w:val="0"/>
          <w:sz w:val="20"/>
          <w:vertAlign w:val="superscript"/>
          <w:rFonts w:ascii="Times New Roman" w:hAnsi="Times New Roman" w:cs="Times New Roman" w:eastAsia="Times New Roman"/>
        </w:rPr>
        <w:t>α</w:t>
      </w:r>
      <w:r>
        <w:rPr>
          <w:rFonts w:ascii="Times New Roman" w:hAnsi="Times New Roman"/>
          <w:b w:val="0"/>
          <w:i w:val="0"/>
          <w:sz w:val="20"/>
          <w:rFonts w:ascii="Times New Roman" w:hAnsi="Times New Roman" w:cs="Times New Roman" w:eastAsia="Times New Roman"/>
        </w:rPr>
        <w:t>μ</w:t>
      </w:r>
      <w:r>
        <w:rPr>
          <w:rFonts w:ascii="Times New Roman" w:hAnsi="Times New Roman"/>
          <w:b w:val="0"/>
          <w:i w:val="0"/>
          <w:sz w:val="20"/>
          <w:vertAlign w:val="superscript"/>
          <w:rFonts w:ascii="Times New Roman" w:hAnsi="Times New Roman" w:cs="Times New Roman" w:eastAsia="Times New Roman"/>
        </w:rPr>
        <w:t>β</w:t>
      </w:r>
      <w:r>
        <w:rPr>
          <w:rFonts w:ascii="Times New Roman" w:hAnsi="Times New Roman"/>
          <w:b w:val="0"/>
          <w:i w:val="0"/>
          <w:sz w:val="20"/>
          <w:rFonts w:ascii="Times New Roman" w:hAnsi="Times New Roman" w:cs="Times New Roman" w:eastAsia="Times New Roman"/>
        </w:rPr>
        <w:t xml:space="preserve"> over a grid of 81 points on [0, 2]² and reading off the information coefficient.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answer is unambiguous and it is not the one the unit-exponent product predicts. At one session the grid maximum sits at α = 0.75, β = 0.00 with information coefficient 0.0225: the materiality exponent is estimated at </w:t>
      </w:r>
      <w:r>
        <w:rPr>
          <w:rFonts w:ascii="Times New Roman" w:hAnsi="Times New Roman"/>
          <w:b w:val="0"/>
          <w:i/>
          <w:sz w:val="20"/>
          <w:rFonts w:ascii="Times New Roman" w:hAnsi="Times New Roman" w:cs="Times New Roman" w:eastAsia="Times New Roman"/>
        </w:rPr>
        <w:t>exactly zero</w:t>
      </w:r>
      <w:r>
        <w:rPr>
          <w:rFonts w:ascii="Times New Roman" w:hAnsi="Times New Roman"/>
          <w:b w:val="0"/>
          <w:i w:val="0"/>
          <w:sz w:val="20"/>
          <w:rFonts w:ascii="Times New Roman" w:hAnsi="Times New Roman" w:cs="Times New Roman" w:eastAsia="Times New Roman"/>
        </w:rPr>
        <w:t xml:space="preserve">, as Step 5 of the screen implied it would be. The unit-exponent product assumed by Eq. (1) scores 0.0210, and switching the gates off altogether — α = β = 0, which collapses the aggregate to plain mean polarity — scores 0.0209. At five sessions the maximum </w:t>
      </w:r>
      <w:r>
        <w:rPr>
          <w:rFonts w:ascii="Times New Roman" w:hAnsi="Times New Roman"/>
          <w:b/>
          <w:i w:val="0"/>
          <w:sz w:val="20"/>
          <w:rFonts w:ascii="Times New Roman" w:hAnsi="Times New Roman" w:cs="Times New Roman" w:eastAsia="Times New Roman"/>
        </w:rPr>
        <w:t>is</w:t>
      </w:r>
      <w:r>
        <w:rPr>
          <w:rFonts w:ascii="Times New Roman" w:hAnsi="Times New Roman"/>
          <w:b w:val="0"/>
          <w:i w:val="0"/>
          <w:sz w:val="20"/>
          <w:rFonts w:ascii="Times New Roman" w:hAnsi="Times New Roman" w:cs="Times New Roman" w:eastAsia="Times New Roman"/>
        </w:rPr>
        <w:t xml:space="preserve"> the no-gating corner, α = β = 0 with 0.0156, against 0.0126 for the unit-exponent product: there, gating is not merely unhelpful but actively harmful.</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Two conclusions follow. First, the hypothesis that α = β = 1 is rejected, and rejected in the direction of the null model rather than toward some richer weighting. Second, and more important for a team deciding where to spend effort, the entire surface spans only 0.0201 to 0.0225 in information coefficient (Figure 4). The objective is nearly flat in the exponents, so the choice of gating weights — including the choice not to gate — moves predictive accuracy by an amount small relative to its own sampling error. That flatness, rather than the location of any maximum, is the finding, and it is why every comparison in Section 4.7 lands inside its confidence interval.</w:t>
      </w:r>
    </w:p>
    <w:p>
      <w:pPr>
        <w:jc w:val="center"/>
        <w:spacing w:before="200" w:after="80" w:line="240" w:lineRule="auto"/>
        <w:keepNext/>
      </w:pPr>
      <w:r>
        <w:drawing>
          <wp:inline xmlns:a="http://schemas.openxmlformats.org/drawingml/2006/main" xmlns:pic="http://schemas.openxmlformats.org/drawingml/2006/picture">
            <wp:extent cx="4206240" cy="2731582"/>
            <wp:docPr id="4" name="Picture 4"/>
            <wp:cNvGraphicFramePr>
              <a:graphicFrameLocks noChangeAspect="1"/>
            </wp:cNvGraphicFramePr>
            <a:graphic>
              <a:graphicData uri="http://schemas.openxmlformats.org/drawingml/2006/picture">
                <pic:pic>
                  <pic:nvPicPr>
                    <pic:cNvPr id="0" name="fig4_exponents.png"/>
                    <pic:cNvPicPr/>
                  </pic:nvPicPr>
                  <pic:blipFill>
                    <a:blip r:embed="rId14"/>
                    <a:stretch>
                      <a:fillRect/>
                    </a:stretch>
                  </pic:blipFill>
                  <pic:spPr>
                    <a:xfrm>
                      <a:off x="0" y="0"/>
                      <a:ext cx="4206240" cy="2731582"/>
                    </a:xfrm>
                    <a:prstGeom prst="rect"/>
                  </pic:spPr>
                </pic:pic>
              </a:graphicData>
            </a:graphic>
          </wp:inline>
        </w:drawing>
      </w:r>
    </w:p>
    <w:p>
      <w:pPr>
        <w:jc w:val="both"/>
        <w:spacing w:before="0" w:after="200" w:line="240" w:lineRule="auto"/>
      </w:pPr>
      <w:r>
        <w:rPr>
          <w:rFonts w:ascii="Times New Roman" w:hAnsi="Times New Roman"/>
          <w:b/>
          <w:i/>
          <w:sz w:val="18"/>
          <w:rFonts w:ascii="Times New Roman" w:hAnsi="Times New Roman" w:cs="Times New Roman" w:eastAsia="Times New Roman"/>
        </w:rPr>
        <w:t xml:space="preserve">Figure 4. </w:t>
      </w:r>
      <w:r>
        <w:rPr>
          <w:rFonts w:ascii="Times New Roman" w:hAnsi="Times New Roman"/>
          <w:b w:val="0"/>
          <w:i w:val="0"/>
          <w:sz w:val="18"/>
          <w:rFonts w:ascii="Times New Roman" w:hAnsi="Times New Roman" w:cs="Times New Roman" w:eastAsia="Times New Roman"/>
        </w:rPr>
        <w:t>Information coefficient of the aggregate built from sν</w:t>
      </w:r>
      <w:r>
        <w:rPr>
          <w:rFonts w:ascii="Times New Roman" w:hAnsi="Times New Roman"/>
          <w:b w:val="0"/>
          <w:i w:val="0"/>
          <w:sz w:val="18"/>
          <w:vertAlign w:val="superscript"/>
          <w:rFonts w:ascii="Times New Roman" w:hAnsi="Times New Roman" w:cs="Times New Roman" w:eastAsia="Times New Roman"/>
        </w:rPr>
        <w:t>α</w:t>
      </w:r>
      <w:r>
        <w:rPr>
          <w:rFonts w:ascii="Times New Roman" w:hAnsi="Times New Roman"/>
          <w:b w:val="0"/>
          <w:i w:val="0"/>
          <w:sz w:val="18"/>
          <w:rFonts w:ascii="Times New Roman" w:hAnsi="Times New Roman" w:cs="Times New Roman" w:eastAsia="Times New Roman"/>
        </w:rPr>
        <w:t>μ</w:t>
      </w:r>
      <w:r>
        <w:rPr>
          <w:rFonts w:ascii="Times New Roman" w:hAnsi="Times New Roman"/>
          <w:b w:val="0"/>
          <w:i w:val="0"/>
          <w:sz w:val="18"/>
          <w:vertAlign w:val="superscript"/>
          <w:rFonts w:ascii="Times New Roman" w:hAnsi="Times New Roman" w:cs="Times New Roman" w:eastAsia="Times New Roman"/>
        </w:rPr>
        <w:t>β</w:t>
      </w:r>
      <w:r>
        <w:rPr>
          <w:rFonts w:ascii="Times New Roman" w:hAnsi="Times New Roman"/>
          <w:b w:val="0"/>
          <w:i w:val="0"/>
          <w:sz w:val="18"/>
          <w:rFonts w:ascii="Times New Roman" w:hAnsi="Times New Roman" w:cs="Times New Roman" w:eastAsia="Times New Roman"/>
        </w:rPr>
        <w:t xml:space="preserve"> over a grid of exponents. The unit-exponent product assumed by Eq. (1) is marked, as is the empirical maximum; Proposition 2 explains why the axioms leave this an open question.</w:t>
      </w:r>
    </w:p>
    <w:p>
      <w:pPr>
        <w:spacing w:before="160" w:after="80" w:line="240" w:lineRule="auto"/>
      </w:pPr>
      <w:r>
        <w:rPr>
          <w:rFonts w:ascii="Times New Roman" w:hAnsi="Times New Roman"/>
          <w:b/>
          <w:i/>
          <w:sz w:val="22"/>
          <w:rFonts w:ascii="Times New Roman" w:hAnsi="Times New Roman" w:cs="Times New Roman" w:eastAsia="Times New Roman"/>
        </w:rPr>
        <w:t>4.7. Selective forecasting with and without the gated signal</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This is the experiment the component has to pass: the conviction gate is fitted twice on identical walk-forward folds, once on price features alone and once on price features plus the gated text signal, and the reported quantity is the difference.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There is no difference. Adding A moves precision at a fixed 10% coverage by +0.37 percentage points at one session (95% CI [-1.26, +1.96], p = 0.685), -1.23 points at five sessions ([-3.52, +1.13], p = 0.322) and +0.01 points at twenty-one ([-0.74, +0.72], p = 1.000). Against threshold-filtered polarity rather than against price alone the gaps are +0.07, -0.83 and +0.37 points. Every interval contains zero, and the point estimates change sign across horizons (Tables 7 and 8). The risk-coverage curves of Figure 5 say the same thing without reference to any threshold: the curves for the four feature sets are indistinguishable over the whole coverage range, and their AURCs differ in the third decimal.</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One result in Table 7 does not fit the pattern, and we report it because it is the most interesting thing in the table. The </w:t>
      </w:r>
      <w:r>
        <w:rPr>
          <w:rFonts w:ascii="Times New Roman" w:hAnsi="Times New Roman"/>
          <w:b/>
          <w:i w:val="0"/>
          <w:sz w:val="20"/>
          <w:rFonts w:ascii="Times New Roman" w:hAnsi="Times New Roman" w:cs="Times New Roman" w:eastAsia="Times New Roman"/>
        </w:rPr>
        <w:t>text-only</w:t>
      </w:r>
      <w:r>
        <w:rPr>
          <w:rFonts w:ascii="Times New Roman" w:hAnsi="Times New Roman"/>
          <w:b w:val="0"/>
          <w:i w:val="0"/>
          <w:sz w:val="20"/>
          <w:rFonts w:ascii="Times New Roman" w:hAnsi="Times New Roman" w:cs="Times New Roman" w:eastAsia="Times New Roman"/>
        </w:rPr>
        <w:t xml:space="preserve"> model — no price features at all — achieves the best AURC at both short horizons (0.479 against 0.485 for price-only at one session, and 0.468 against 0.473 at five) and the best precision at five sessions (55.3% against 54.0% for price-only, on a 53.3% base rate). The headlines therefore carry decision-relevant information that the price features do not, and a learner given the text alone finds it. What the learner cannot do is exploit that information </w:t>
      </w:r>
      <w:r>
        <w:rPr>
          <w:rFonts w:ascii="Times New Roman" w:hAnsi="Times New Roman"/>
          <w:b w:val="0"/>
          <w:i/>
          <w:sz w:val="20"/>
          <w:rFonts w:ascii="Times New Roman" w:hAnsi="Times New Roman" w:cs="Times New Roman" w:eastAsia="Times New Roman"/>
        </w:rPr>
        <w:t>once price features are also available</w:t>
      </w:r>
      <w:r>
        <w:rPr>
          <w:rFonts w:ascii="Times New Roman" w:hAnsi="Times New Roman"/>
          <w:b w:val="0"/>
          <w:i w:val="0"/>
          <w:sz w:val="20"/>
          <w:rFonts w:ascii="Times New Roman" w:hAnsi="Times New Roman" w:cs="Times New Roman" w:eastAsia="Times New Roman"/>
        </w:rPr>
        <w:t>: the combined model is no better than price alone. Whether this reflects genuine redundancy or a failure of the gradient-boosted learner to allocate capacity to a weak, sparse feature beside strong dense ones, we cannot determine from these data, and we would not want a reader to take the first explanation for granted.</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7. </w:t>
      </w:r>
      <w:r>
        <w:rPr>
          <w:rFonts w:ascii="Times New Roman" w:hAnsi="Times New Roman"/>
          <w:b w:val="0"/>
          <w:i w:val="0"/>
          <w:sz w:val="18"/>
          <w:rFonts w:ascii="Times New Roman" w:hAnsi="Times New Roman" w:cs="Times New Roman" w:eastAsia="Times New Roman"/>
        </w:rPr>
        <w:t>Selective forecasting with and without the gated text signal. Precision is the realised up-rate of the most confident 10% of out-of-sample predictions, a fixed coverage that makes the variants comparable without reference to any tuned threshold; AURC is the area under the risk-coverage curve, for which lower is better. All figures are pooled over walk-forward test years.</w:t>
      </w:r>
    </w:p>
    <w:tbl>
      <w:tblPr>
        <w:tblW w:type="auto" w:w="0"/>
        <w:jc w:val="center"/>
        <w:tblLayout w:type="fixed"/>
        <w:tblLook w:firstColumn="1" w:firstRow="1" w:lastColumn="0" w:lastRow="0" w:noHBand="0" w:noVBand="1" w:val="04A0"/>
        <w:tblLayout w:type="fixed"/>
      </w:tblPr>
      <w:tblGrid>
        <w:gridCol w:w="1215"/>
        <w:gridCol w:w="1215"/>
        <w:gridCol w:w="1215"/>
        <w:gridCol w:w="1215"/>
        <w:gridCol w:w="1215"/>
        <w:gridCol w:w="1215"/>
        <w:gridCol w:w="1215"/>
      </w:tblGrid>
      <w:tr>
        <w:tc>
          <w:tcPr>
            <w:tcW w:type="dxa" w:w="2381"/>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t>Feature set</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H=1 Prec.</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AURC</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H=5 Prec.</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AURC</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H=21 Prec.</w:t>
            </w:r>
          </w:p>
        </w:tc>
        <w:tc>
          <w:tcPr>
            <w:tcW w:type="dxa" w:w="1020"/>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AURC</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Price + gated signal A</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51.5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0.479</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52.4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0.472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59.7</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0.458</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Price + filtered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51.4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0.482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53.8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0.472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59.1</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0.460</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Price + mean polarity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51.2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0.484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53.4</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0.470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59.3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0.459</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Price only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51.2</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0.485</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54.0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0.473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59.0</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0.457</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Text only</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52.8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0.479</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55.3</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0.468</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58.9</w:t>
            </w:r>
          </w:p>
        </w:tc>
        <w:tc>
          <w:tcPr>
            <w:tcW w:type="dxa" w:w="1020"/>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0.462</w:t>
            </w:r>
          </w:p>
        </w:tc>
      </w:tr>
      <w:tr>
        <w:tc>
          <w:tcPr>
            <w:tcW w:type="dxa" w:w="2381"/>
            <w:tcBorders>
              <w:bottom w:val="single" w:sz="8" w:space="0" w:color="000000"/>
            </w:tcBorders>
          </w:tcPr>
          <w:p>
            <w:pPr>
              <w:jc w:val="left"/>
              <w:spacing w:before="20" w:after="20" w:line="240" w:lineRule="auto"/>
            </w:pPr>
            <w:r>
              <w:rPr>
                <w:rFonts w:ascii="Times New Roman" w:hAnsi="Times New Roman"/>
                <w:b/>
                <w:i w:val="0"/>
                <w:sz w:val="18"/>
                <w:rFonts w:ascii="Times New Roman" w:hAnsi="Times New Roman" w:cs="Times New Roman" w:eastAsia="Times New Roman"/>
              </w:rPr>
              <w:t>Always-up base rate</w:t>
            </w:r>
          </w:p>
        </w:tc>
        <w:tc>
          <w:tcPr>
            <w:tcW w:type="dxa" w:w="1020"/>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t>51.8%</w:t>
            </w:r>
          </w:p>
        </w:tc>
        <w:tc>
          <w:tcPr>
            <w:tcW w:type="dxa" w:w="1020"/>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r>
          </w:p>
        </w:tc>
        <w:tc>
          <w:tcPr>
            <w:tcW w:type="dxa" w:w="1020"/>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t>53.3%</w:t>
            </w:r>
          </w:p>
        </w:tc>
        <w:tc>
          <w:tcPr>
            <w:tcW w:type="dxa" w:w="1020"/>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r>
          </w:p>
        </w:tc>
        <w:tc>
          <w:tcPr>
            <w:tcW w:type="dxa" w:w="1020"/>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t>54.9%</w:t>
            </w:r>
          </w:p>
        </w:tc>
        <w:tc>
          <w:tcPr>
            <w:tcW w:type="dxa" w:w="1020"/>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r>
          </w:p>
        </w:tc>
      </w:tr>
    </w:tbl>
    <w:p>
      <w:pPr>
        <w:spacing w:before="0" w:after="160" w:line="240" w:lineRule="auto"/>
      </w:pP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8. </w:t>
      </w:r>
      <w:r>
        <w:rPr>
          <w:rFonts w:ascii="Times New Roman" w:hAnsi="Times New Roman"/>
          <w:b w:val="0"/>
          <w:i w:val="0"/>
          <w:sz w:val="18"/>
          <w:rFonts w:ascii="Times New Roman" w:hAnsi="Times New Roman" w:cs="Times New Roman" w:eastAsia="Times New Roman"/>
        </w:rPr>
        <w:t>Bootstrapped difference in precision at 10% coverage between the model carrying the gated signal and each comparison model, resampling whole dates so that cross-sectional correlation is preserved.</w:t>
      </w:r>
    </w:p>
    <w:tbl>
      <w:tblPr>
        <w:tblW w:type="auto" w:w="0"/>
        <w:jc w:val="center"/>
        <w:tblLayout w:type="fixed"/>
        <w:tblLook w:firstColumn="1" w:firstRow="1" w:lastColumn="0" w:lastRow="0" w:noHBand="0" w:noVBand="1" w:val="04A0"/>
        <w:tblLayout w:type="fixed"/>
      </w:tblPr>
      <w:tblGrid>
        <w:gridCol w:w="2126"/>
        <w:gridCol w:w="2126"/>
        <w:gridCol w:w="2126"/>
        <w:gridCol w:w="2126"/>
      </w:tblGrid>
      <w:tr>
        <w:tc>
          <w:tcPr>
            <w:tcW w:type="dxa" w:w="3232"/>
            <w:tcBorders>
              <w:top w:val="single" w:sz="8" w:space="0" w:color="000000"/>
            </w:tcBorders>
            <w:tcBorders>
              <w:bottom w:val="single" w:sz="8" w:space="0" w:color="000000"/>
            </w:tcBorders>
          </w:tcPr>
          <w:p>
            <w:pPr>
              <w:jc w:val="left"/>
              <w:spacing w:before="40" w:after="40" w:line="240" w:lineRule="auto"/>
            </w:pPr>
            <w:r>
              <w:rPr>
                <w:rFonts w:ascii="Times New Roman" w:hAnsi="Times New Roman"/>
                <w:b w:val="0"/>
                <w:i w:val="0"/>
                <w:sz w:val="18"/>
                <w:rFonts w:ascii="Times New Roman" w:hAnsi="Times New Roman" w:cs="Times New Roman" w:eastAsia="Times New Roman"/>
              </w:rPr>
              <w:t>Precision gap at 10% coverage</w:t>
            </w:r>
          </w:p>
        </w:tc>
        <w:tc>
          <w:tcPr>
            <w:tcW w:type="dxa" w:w="1701"/>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Estimate (pp)</w:t>
            </w:r>
          </w:p>
        </w:tc>
        <w:tc>
          <w:tcPr>
            <w:tcW w:type="dxa" w:w="2211"/>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95% CI</w:t>
            </w:r>
          </w:p>
        </w:tc>
        <w:tc>
          <w:tcPr>
            <w:tcW w:type="dxa" w:w="1361"/>
            <w:tcBorders>
              <w:top w:val="single" w:sz="8" w:space="0" w:color="000000"/>
            </w:tcBorders>
            <w:tcBorders>
              <w:bottom w:val="single" w:sz="8" w:space="0" w:color="000000"/>
            </w:tcBorders>
          </w:tcPr>
          <w:p>
            <w:pPr>
              <w:jc w:val="center"/>
              <w:spacing w:before="40" w:after="40" w:line="240" w:lineRule="auto"/>
            </w:pPr>
            <w:r>
              <w:rPr>
                <w:rFonts w:ascii="Times New Roman" w:hAnsi="Times New Roman"/>
                <w:b w:val="0"/>
                <w:i w:val="0"/>
                <w:sz w:val="18"/>
                <w:rFonts w:ascii="Times New Roman" w:hAnsi="Times New Roman" w:cs="Times New Roman" w:eastAsia="Times New Roman"/>
              </w:rPr>
              <w:t>p</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1, vs. price only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+0.37</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[-1.26, +1.96]</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0.685</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1, vs. filtered polarity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+0.07</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[-1.70, +1.83]</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0.938</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1, vs. mean polarity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-0.05</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[-2.23, +2.14]</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0.948</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5, vs. price only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-1.23</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[-3.52, +1.13]</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0.322</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5, vs. filtered polarity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-0.83</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[-3.10, +1.40]</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0.482</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5, vs. mean polarity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-0.65</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[-2.96, +1.64]</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0.587</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21, vs. price only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+0.01</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[-0.74, +0.72]</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1.000</w:t>
            </w:r>
          </w:p>
        </w:tc>
      </w:tr>
      <w:tr>
        <w:tc>
          <w:tcPr>
            <w:tcW w:type="dxa" w:w="3232"/>
          </w:tcPr>
          <w:p>
            <w:pPr>
              <w:jc w:val="left"/>
              <w:spacing w:before="20" w:after="20" w:line="240" w:lineRule="auto"/>
            </w:pPr>
            <w:r>
              <w:rPr>
                <w:rFonts w:ascii="Times New Roman" w:hAnsi="Times New Roman"/>
                <w:b w:val="0"/>
                <w:i w:val="0"/>
                <w:sz w:val="18"/>
                <w:rFonts w:ascii="Times New Roman" w:hAnsi="Times New Roman" w:cs="Times New Roman" w:eastAsia="Times New Roman"/>
              </w:rPr>
              <w:t>H = 21, vs. filtered polarity</w:t>
            </w:r>
          </w:p>
        </w:tc>
        <w:tc>
          <w:tcPr>
            <w:tcW w:type="dxa" w:w="170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+0.37</w:t>
            </w:r>
          </w:p>
        </w:tc>
        <w:tc>
          <w:tcPr>
            <w:tcW w:type="dxa" w:w="221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[-0.23, +0.97]</w:t>
            </w:r>
          </w:p>
        </w:tc>
        <w:tc>
          <w:tcPr>
            <w:tcW w:type="dxa" w:w="1361"/>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0.252</w:t>
            </w:r>
          </w:p>
        </w:tc>
      </w:tr>
      <w:tr>
        <w:tc>
          <w:tcPr>
            <w:tcW w:type="dxa" w:w="3232"/>
            <w:tcBorders>
              <w:bottom w:val="single" w:sz="8" w:space="0" w:color="000000"/>
            </w:tcBorders>
          </w:tcPr>
          <w:p>
            <w:pPr>
              <w:jc w:val="left"/>
              <w:spacing w:before="20" w:after="20" w:line="240" w:lineRule="auto"/>
            </w:pPr>
            <w:r>
              <w:rPr>
                <w:rFonts w:ascii="Times New Roman" w:hAnsi="Times New Roman"/>
                <w:b w:val="0"/>
                <w:i w:val="0"/>
                <w:sz w:val="18"/>
                <w:rFonts w:ascii="Times New Roman" w:hAnsi="Times New Roman" w:cs="Times New Roman" w:eastAsia="Times New Roman"/>
              </w:rPr>
              <w:t>H = 21, vs. mean polarity</w:t>
            </w:r>
          </w:p>
        </w:tc>
        <w:tc>
          <w:tcPr>
            <w:tcW w:type="dxa" w:w="1701"/>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+0.28</w:t>
            </w:r>
          </w:p>
        </w:tc>
        <w:tc>
          <w:tcPr>
            <w:tcW w:type="dxa" w:w="2211"/>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[-0.32, +0.84]</w:t>
            </w:r>
          </w:p>
        </w:tc>
        <w:tc>
          <w:tcPr>
            <w:tcW w:type="dxa" w:w="1361"/>
            <w:tcBorders>
              <w:bottom w:val="single" w:sz="8" w:space="0" w:color="000000"/>
            </w:tcBorders>
          </w:tcPr>
          <w:p>
            <w:pPr>
              <w:jc w:val="center"/>
              <w:spacing w:before="20" w:after="20" w:line="240" w:lineRule="auto"/>
            </w:pPr>
            <w:r>
              <w:rPr>
                <w:rFonts w:ascii="Times New Roman" w:hAnsi="Times New Roman"/>
                <w:b w:val="0"/>
                <w:i w:val="0"/>
                <w:sz w:val="18"/>
                <w:rFonts w:ascii="Times New Roman" w:hAnsi="Times New Roman" w:cs="Times New Roman" w:eastAsia="Times New Roman"/>
              </w:rPr>
              <w:t>0.345</w:t>
            </w:r>
          </w:p>
        </w:tc>
      </w:tr>
    </w:tbl>
    <w:p>
      <w:pPr>
        <w:spacing w:before="0" w:after="160" w:line="240" w:lineRule="auto"/>
      </w:pPr>
    </w:p>
    <w:p>
      <w:pPr>
        <w:jc w:val="center"/>
        <w:spacing w:before="200" w:after="80" w:line="240" w:lineRule="auto"/>
        <w:keepNext/>
      </w:pPr>
      <w:r>
        <w:drawing>
          <wp:inline xmlns:a="http://schemas.openxmlformats.org/drawingml/2006/main" xmlns:pic="http://schemas.openxmlformats.org/drawingml/2006/picture">
            <wp:extent cx="4206240" cy="1449541"/>
            <wp:docPr id="5" name="Picture 5"/>
            <wp:cNvGraphicFramePr>
              <a:graphicFrameLocks noChangeAspect="1"/>
            </wp:cNvGraphicFramePr>
            <a:graphic>
              <a:graphicData uri="http://schemas.openxmlformats.org/drawingml/2006/picture">
                <pic:pic>
                  <pic:nvPicPr>
                    <pic:cNvPr id="0" name="fig3_risk_coverage.png"/>
                    <pic:cNvPicPr/>
                  </pic:nvPicPr>
                  <pic:blipFill>
                    <a:blip r:embed="rId15"/>
                    <a:stretch>
                      <a:fillRect/>
                    </a:stretch>
                  </pic:blipFill>
                  <pic:spPr>
                    <a:xfrm>
                      <a:off x="0" y="0"/>
                      <a:ext cx="4206240" cy="1449541"/>
                    </a:xfrm>
                    <a:prstGeom prst="rect"/>
                  </pic:spPr>
                </pic:pic>
              </a:graphicData>
            </a:graphic>
          </wp:inline>
        </w:drawing>
      </w:r>
    </w:p>
    <w:p>
      <w:pPr>
        <w:jc w:val="both"/>
        <w:spacing w:before="0" w:after="200" w:line="240" w:lineRule="auto"/>
      </w:pPr>
      <w:r>
        <w:rPr>
          <w:rFonts w:ascii="Times New Roman" w:hAnsi="Times New Roman"/>
          <w:b/>
          <w:i/>
          <w:sz w:val="18"/>
          <w:rFonts w:ascii="Times New Roman" w:hAnsi="Times New Roman" w:cs="Times New Roman" w:eastAsia="Times New Roman"/>
        </w:rPr>
        <w:t xml:space="preserve">Figure 5. </w:t>
      </w:r>
      <w:r>
        <w:rPr>
          <w:rFonts w:ascii="Times New Roman" w:hAnsi="Times New Roman"/>
          <w:b w:val="0"/>
          <w:i w:val="0"/>
          <w:sz w:val="18"/>
          <w:rFonts w:ascii="Times New Roman" w:hAnsi="Times New Roman" w:cs="Times New Roman" w:eastAsia="Times New Roman"/>
        </w:rPr>
        <w:t>Risk-coverage curves for the walk-forward selective forecaster. Each curve traces the error rate accepted at every coverage level, so the comparison does not depend on the choice of any single conviction threshold; the area under each curve (AURC, lower is better) appears in the legend.</w:t>
      </w:r>
    </w:p>
    <w:p>
      <w:pPr>
        <w:spacing w:before="160" w:after="80" w:line="240" w:lineRule="auto"/>
      </w:pPr>
      <w:r>
        <w:rPr>
          <w:rFonts w:ascii="Times New Roman" w:hAnsi="Times New Roman"/>
          <w:b/>
          <w:i/>
          <w:sz w:val="22"/>
          <w:rFonts w:ascii="Times New Roman" w:hAnsi="Times New Roman" w:cs="Times New Roman" w:eastAsia="Times New Roman"/>
        </w:rPr>
        <w:t>4.8. Production evidence: coverage and calibration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results above concern the scoring and aggregation stages. The decision stage was studied on the deployed system, where the evidence is of a different kind: not whether a signal predicts, but whether a system in operation tells the truth about its own uncertainty.</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It did not. Between 19 April and 12 June 2026 the system issued and later resolved 621 price-interval forecasts on seven large caps, each carrying a nominal 90% interval with a median half-width of 5.6% of price. Had those intervals been calibrated, about 90% would have contained the realised price; empirical coverage was 70.7%, a 19.3 percentage-point shortfall (Table 9, Figure 6(a)). Most forecasts sat at the ten-day horizon, where coverage was 69.2% over 575 resolved forecasts. Nothing in the pipeline noticed, which is the point: overconfidence is silent unless somebody scores it, and no schema, range or drift control will do so.</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directional head failed in the same direction and for a diagnosable reason. It reported next-day up-probabilities clustered near 0.80 against a realised accuracy near 0.51, giving an expected calibration error of 0.345 and a Brier score above 0.366 — worse than predicting 0.5 every time. The cause was the stacking domain mismatch of Section 3.8, and the three-stage repair cut expected calibration error from 0.345 to 0.049 while leaving accuracy untouched. Calibration changed what the model </w:t>
      </w:r>
      <w:r>
        <w:rPr>
          <w:rFonts w:ascii="Times New Roman" w:hAnsi="Times New Roman"/>
          <w:b w:val="0"/>
          <w:i/>
          <w:sz w:val="20"/>
          <w:rFonts w:ascii="Times New Roman" w:hAnsi="Times New Roman" w:cs="Times New Roman" w:eastAsia="Times New Roman"/>
        </w:rPr>
        <w:t>said about its confidence</w:t>
      </w:r>
      <w:r>
        <w:rPr>
          <w:rFonts w:ascii="Times New Roman" w:hAnsi="Times New Roman"/>
          <w:b w:val="0"/>
          <w:i w:val="0"/>
          <w:sz w:val="20"/>
          <w:rFonts w:ascii="Times New Roman" w:hAnsi="Times New Roman" w:cs="Times New Roman" w:eastAsia="Times New Roman"/>
        </w:rPr>
        <w:t>, not what it predicted, which is precisely the distinction the design insists on.</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With probabilities pulled back to the base rate, the walk-forward conviction gate on the 54-name deployment universe (2018 to 2026, 91,471 training rows and 50,272 out-of-sample rows) settles at τ∗ = 0.63 and fires on 5.6% of observations, abstaining on the rest. The fired bucket realises 60.6% directional precision against a 58.0% always-up base rate over 2,840 pooled calls: a 2.6 point edge with a 95% binomial interval of 58.8 to 62.4%. We do not over-read it. Per-year counts are small, the swing from +10.8 points in 2025 to -2.4 in 2024 is within sampling noise (Figure 6(b)), and the ranking area under the curve is about 0.47, so what edge exists lives in the high-conviction tail and not in the ordering. Crucially for this paper, </w:t>
      </w:r>
      <w:r>
        <w:rPr>
          <w:rFonts w:ascii="Times New Roman" w:hAnsi="Times New Roman"/>
          <w:b/>
          <w:i w:val="0"/>
          <w:sz w:val="20"/>
          <w:rFonts w:ascii="Times New Roman" w:hAnsi="Times New Roman" w:cs="Times New Roman" w:eastAsia="Times New Roman"/>
        </w:rPr>
        <w:t>that gate contains no text feature at all</w:t>
      </w:r>
      <w:r>
        <w:rPr>
          <w:rFonts w:ascii="Times New Roman" w:hAnsi="Times New Roman"/>
          <w:b w:val="0"/>
          <w:i w:val="0"/>
          <w:sz w:val="20"/>
          <w:rFonts w:ascii="Times New Roman" w:hAnsi="Times New Roman" w:cs="Times New Roman" w:eastAsia="Times New Roman"/>
        </w:rPr>
        <w:t>: it is evidence that calibrated abstention is worth building, not evidence for the decomposition.</w:t>
      </w:r>
    </w:p>
    <w:p>
      <w:pPr>
        <w:jc w:val="both"/>
        <w:spacing w:before="200" w:after="80" w:line="240" w:lineRule="auto"/>
        <w:keepNext/>
      </w:pPr>
      <w:r>
        <w:rPr>
          <w:rFonts w:ascii="Times New Roman" w:hAnsi="Times New Roman"/>
          <w:b/>
          <w:i/>
          <w:sz w:val="18"/>
          <w:rFonts w:ascii="Times New Roman" w:hAnsi="Times New Roman" w:cs="Times New Roman" w:eastAsia="Times New Roman"/>
        </w:rPr>
        <w:t xml:space="preserve">Table 9. </w:t>
      </w:r>
      <w:r>
        <w:rPr>
          <w:rFonts w:ascii="Times New Roman" w:hAnsi="Times New Roman"/>
          <w:b w:val="0"/>
          <w:i w:val="0"/>
          <w:sz w:val="18"/>
          <w:rFonts w:ascii="Times New Roman" w:hAnsi="Times New Roman" w:cs="Times New Roman" w:eastAsia="Times New Roman"/>
        </w:rPr>
        <w:t>Deployment evidence from the live forecast ledger. Every interval carries a nominal 90% level. Panel B reports the walk-forward conviction gate on the 54-name deployment universe, where precision is the realised up-rate of the fired high-conviction bucket and the base is the unconditional always-up rate.</w:t>
      </w:r>
    </w:p>
    <w:tbl>
      <w:tblPr>
        <w:tblW w:type="auto" w:w="0"/>
        <w:jc w:val="center"/>
        <w:tblLayout w:type="fixed"/>
        <w:tblLook w:firstColumn="1" w:firstRow="1" w:lastColumn="0" w:lastRow="0" w:noHBand="0" w:noVBand="1" w:val="04A0"/>
        <w:tblLayout w:type="fixed"/>
      </w:tblPr>
      <w:tblGrid>
        <w:gridCol w:w="1701"/>
        <w:gridCol w:w="1701"/>
        <w:gridCol w:w="1701"/>
        <w:gridCol w:w="1701"/>
        <w:gridCol w:w="1701"/>
      </w:tblGrid>
      <w:tr>
        <w:tc>
          <w:tcPr>
            <w:tcW w:type="dxa" w:w="2381"/>
            <w:tcBorders>
              <w:top w:val="single" w:sz="8" w:space="0" w:color="000000"/>
            </w:tcBorders>
            <w:tcBorders>
              <w:bottom w:val="single" w:sz="8" w:space="0" w:color="000000"/>
            </w:tcBorders>
          </w:tcPr>
          <w:p>
            <w:pPr>
              <w:jc w:val="left"/>
              <w:spacing w:before="40" w:after="40" w:line="240" w:lineRule="auto"/>
            </w:pPr>
          </w:p>
        </w:tc>
        <w:tc>
          <w:tcPr>
            <w:tcW w:type="dxa" w:w="1616"/>
            <w:tcBorders>
              <w:top w:val="single" w:sz="8" w:space="0" w:color="000000"/>
            </w:tcBorders>
            <w:tcBorders>
              <w:bottom w:val="single" w:sz="8" w:space="0" w:color="000000"/>
            </w:tcBorders>
          </w:tcPr>
          <w:p>
            <w:pPr>
              <w:jc w:val="center"/>
              <w:spacing w:before="40" w:after="40" w:line="240" w:lineRule="auto"/>
            </w:pPr>
          </w:p>
        </w:tc>
        <w:tc>
          <w:tcPr>
            <w:tcW w:type="dxa" w:w="1616"/>
            <w:tcBorders>
              <w:top w:val="single" w:sz="8" w:space="0" w:color="000000"/>
            </w:tcBorders>
            <w:tcBorders>
              <w:bottom w:val="single" w:sz="8" w:space="0" w:color="000000"/>
            </w:tcBorders>
          </w:tcPr>
          <w:p>
            <w:pPr>
              <w:jc w:val="center"/>
              <w:spacing w:before="40" w:after="40" w:line="240" w:lineRule="auto"/>
            </w:pPr>
          </w:p>
        </w:tc>
        <w:tc>
          <w:tcPr>
            <w:tcW w:type="dxa" w:w="1616"/>
            <w:tcBorders>
              <w:top w:val="single" w:sz="8" w:space="0" w:color="000000"/>
            </w:tcBorders>
            <w:tcBorders>
              <w:bottom w:val="single" w:sz="8" w:space="0" w:color="000000"/>
            </w:tcBorders>
          </w:tcPr>
          <w:p>
            <w:pPr>
              <w:jc w:val="center"/>
              <w:spacing w:before="40" w:after="40" w:line="240" w:lineRule="auto"/>
            </w:pPr>
          </w:p>
        </w:tc>
        <w:tc>
          <w:tcPr>
            <w:tcW w:type="dxa" w:w="1276"/>
            <w:tcBorders>
              <w:top w:val="single" w:sz="8" w:space="0" w:color="000000"/>
            </w:tcBorders>
            <w:tcBorders>
              <w:bottom w:val="single" w:sz="8" w:space="0" w:color="000000"/>
            </w:tcBorders>
          </w:tcPr>
          <w:p>
            <w:pPr>
              <w:jc w:val="center"/>
              <w:spacing w:before="40" w:after="40" w:line="240" w:lineRule="auto"/>
            </w:pPr>
          </w:p>
        </w:tc>
      </w:tr>
      <w:tr>
        <w:tc>
          <w:tcPr>
            <w:tcW w:type="dxa" w:w="8505"/>
            <w:gridSpan w:val="5"/>
          </w:tcPr>
          <w:p>
            <w:pPr>
              <w:spacing w:before="80" w:after="40" w:line="240" w:lineRule="auto"/>
            </w:pPr>
            <w:r>
              <w:rPr>
                <w:rFonts w:ascii="Times New Roman" w:hAnsi="Times New Roman"/>
                <w:b w:val="0"/>
                <w:i/>
                <w:sz w:val="18"/>
                <w:rFonts w:ascii="Times New Roman" w:hAnsi="Times New Roman" w:cs="Times New Roman" w:eastAsia="Times New Roman"/>
              </w:rPr>
              <w:t>Panel A: interval coverage by horizon</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Horizon</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Resolved forecasts</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Nominal</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Empirical</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5 trading days</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8</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90.0%</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100.0%</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10 trading days</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575</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90.0%</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69.2%</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20 trading days</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38</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90.0%</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86.8%</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r>
          </w:p>
        </w:tc>
      </w:tr>
      <w:tr>
        <w:tc>
          <w:tcPr>
            <w:tcW w:type="dxa" w:w="2381"/>
          </w:tcPr>
          <w:p>
            <w:pPr>
              <w:jc w:val="left"/>
              <w:spacing w:before="20" w:after="20" w:line="240" w:lineRule="auto"/>
            </w:pPr>
            <w:r>
              <w:rPr>
                <w:rFonts w:ascii="Times New Roman" w:hAnsi="Times New Roman"/>
                <w:b/>
                <w:i w:val="0"/>
                <w:sz w:val="18"/>
                <w:rFonts w:ascii="Times New Roman" w:hAnsi="Times New Roman" w:cs="Times New Roman" w:eastAsia="Times New Roman"/>
              </w:rPr>
              <w:t>All</w:t>
            </w:r>
          </w:p>
        </w:tc>
        <w:tc>
          <w:tcPr>
            <w:tcW w:type="dxa" w:w="1616"/>
          </w:tcPr>
          <w:p>
            <w:pPr>
              <w:jc w:val="center"/>
              <w:spacing w:before="20" w:after="20" w:line="240" w:lineRule="auto"/>
            </w:pPr>
            <w:r>
              <w:rPr>
                <w:rFonts w:ascii="Times New Roman" w:hAnsi="Times New Roman"/>
                <w:b/>
                <w:i w:val="0"/>
                <w:sz w:val="18"/>
                <w:rFonts w:ascii="Times New Roman" w:hAnsi="Times New Roman" w:cs="Times New Roman" w:eastAsia="Times New Roman"/>
              </w:rPr>
              <w:t>621</w:t>
            </w:r>
          </w:p>
        </w:tc>
        <w:tc>
          <w:tcPr>
            <w:tcW w:type="dxa" w:w="1616"/>
          </w:tcPr>
          <w:p>
            <w:pPr>
              <w:jc w:val="center"/>
              <w:spacing w:before="20" w:after="20" w:line="240" w:lineRule="auto"/>
            </w:pPr>
            <w:r>
              <w:rPr>
                <w:rFonts w:ascii="Times New Roman" w:hAnsi="Times New Roman"/>
                <w:b/>
                <w:i w:val="0"/>
                <w:sz w:val="18"/>
                <w:rFonts w:ascii="Times New Roman" w:hAnsi="Times New Roman" w:cs="Times New Roman" w:eastAsia="Times New Roman"/>
              </w:rPr>
              <w:t>90.0%</w:t>
            </w:r>
          </w:p>
        </w:tc>
        <w:tc>
          <w:tcPr>
            <w:tcW w:type="dxa" w:w="1616"/>
          </w:tcPr>
          <w:p>
            <w:pPr>
              <w:jc w:val="center"/>
              <w:spacing w:before="20" w:after="20" w:line="240" w:lineRule="auto"/>
            </w:pPr>
            <w:r>
              <w:rPr>
                <w:rFonts w:ascii="Times New Roman" w:hAnsi="Times New Roman"/>
                <w:b/>
                <w:i w:val="0"/>
                <w:sz w:val="18"/>
                <w:rFonts w:ascii="Times New Roman" w:hAnsi="Times New Roman" w:cs="Times New Roman" w:eastAsia="Times New Roman"/>
              </w:rPr>
              <w:t>70.7%</w:t>
            </w:r>
          </w:p>
        </w:tc>
        <w:tc>
          <w:tcPr>
            <w:tcW w:type="dxa" w:w="1276"/>
          </w:tcPr>
          <w:p>
            <w:pPr>
              <w:jc w:val="center"/>
              <w:spacing w:before="20" w:after="20" w:line="240" w:lineRule="auto"/>
            </w:pPr>
            <w:r>
              <w:rPr>
                <w:rFonts w:ascii="Times New Roman" w:hAnsi="Times New Roman"/>
                <w:b/>
                <w:i w:val="0"/>
                <w:sz w:val="18"/>
                <w:rFonts w:ascii="Times New Roman" w:hAnsi="Times New Roman" w:cs="Times New Roman" w:eastAsia="Times New Roman"/>
              </w:rPr>
            </w:r>
          </w:p>
        </w:tc>
      </w:tr>
      <w:tr>
        <w:tc>
          <w:tcPr>
            <w:tcW w:type="dxa" w:w="8505"/>
            <w:gridSpan w:val="5"/>
          </w:tcPr>
          <w:p>
            <w:pPr>
              <w:spacing w:before="80" w:after="40" w:line="240" w:lineRule="auto"/>
            </w:pPr>
            <w:r>
              <w:rPr>
                <w:rFonts w:ascii="Times New Roman" w:hAnsi="Times New Roman"/>
                <w:b w:val="0"/>
                <w:i/>
                <w:sz w:val="18"/>
                <w:rFonts w:ascii="Times New Roman" w:hAnsi="Times New Roman" w:cs="Times New Roman" w:eastAsia="Times New Roman"/>
              </w:rPr>
              <w:t>Panel B: walk-forward conviction gate by test year</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Test year</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Fires</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Fired precision</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Always-up base</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t>Edge (pp)</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2022</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365</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61.6%</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54.0%</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t>+7.6</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2023</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290</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68.3%</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65.3%</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t>+3.0</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2024</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932</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53.3%</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55.7%</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t>-2.4</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2025</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822</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69.0%</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58.2%</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t>+10.8</w:t>
            </w:r>
          </w:p>
        </w:tc>
      </w:tr>
      <w:tr>
        <w:tc>
          <w:tcPr>
            <w:tcW w:type="dxa" w:w="2381"/>
          </w:tcPr>
          <w:p>
            <w:pPr>
              <w:jc w:val="left"/>
              <w:spacing w:before="20" w:after="20" w:line="240" w:lineRule="auto"/>
            </w:pPr>
            <w:r>
              <w:rPr>
                <w:rFonts w:ascii="Times New Roman" w:hAnsi="Times New Roman"/>
                <w:b w:val="0"/>
                <w:i w:val="0"/>
                <w:sz w:val="18"/>
                <w:rFonts w:ascii="Times New Roman" w:hAnsi="Times New Roman" w:cs="Times New Roman" w:eastAsia="Times New Roman"/>
              </w:rPr>
              <w:t>2026</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431</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54.5%</w:t>
            </w:r>
          </w:p>
        </w:tc>
        <w:tc>
          <w:tcPr>
            <w:tcW w:type="dxa" w:w="1616"/>
          </w:tcPr>
          <w:p>
            <w:pPr>
              <w:jc w:val="center"/>
              <w:spacing w:before="20" w:after="20" w:line="240" w:lineRule="auto"/>
            </w:pPr>
            <w:r>
              <w:rPr>
                <w:rFonts w:ascii="Times New Roman" w:hAnsi="Times New Roman"/>
                <w:b w:val="0"/>
                <w:i w:val="0"/>
                <w:sz w:val="18"/>
                <w:rFonts w:ascii="Times New Roman" w:hAnsi="Times New Roman" w:cs="Times New Roman" w:eastAsia="Times New Roman"/>
              </w:rPr>
              <w:t>47.1%</w:t>
            </w:r>
          </w:p>
        </w:tc>
        <w:tc>
          <w:tcPr>
            <w:tcW w:type="dxa" w:w="1276"/>
          </w:tcPr>
          <w:p>
            <w:pPr>
              <w:jc w:val="center"/>
              <w:spacing w:before="20" w:after="20" w:line="240" w:lineRule="auto"/>
            </w:pPr>
            <w:r>
              <w:rPr>
                <w:rFonts w:ascii="Times New Roman" w:hAnsi="Times New Roman"/>
                <w:b w:val="0"/>
                <w:i w:val="0"/>
                <w:sz w:val="18"/>
                <w:rFonts w:ascii="Times New Roman" w:hAnsi="Times New Roman" w:cs="Times New Roman" w:eastAsia="Times New Roman"/>
              </w:rPr>
              <w:t>+7.4</w:t>
            </w:r>
          </w:p>
        </w:tc>
      </w:tr>
      <w:tr>
        <w:tc>
          <w:tcPr>
            <w:tcW w:type="dxa" w:w="2381"/>
            <w:tcBorders>
              <w:bottom w:val="single" w:sz="8" w:space="0" w:color="000000"/>
            </w:tcBorders>
          </w:tcPr>
          <w:p>
            <w:pPr>
              <w:jc w:val="left"/>
              <w:spacing w:before="20" w:after="20" w:line="240" w:lineRule="auto"/>
            </w:pPr>
            <w:r>
              <w:rPr>
                <w:rFonts w:ascii="Times New Roman" w:hAnsi="Times New Roman"/>
                <w:b/>
                <w:i w:val="0"/>
                <w:sz w:val="18"/>
                <w:rFonts w:ascii="Times New Roman" w:hAnsi="Times New Roman" w:cs="Times New Roman" w:eastAsia="Times New Roman"/>
              </w:rPr>
              <w:t>Pooled</w:t>
            </w:r>
          </w:p>
        </w:tc>
        <w:tc>
          <w:tcPr>
            <w:tcW w:type="dxa" w:w="1616"/>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t>2,840</w:t>
            </w:r>
          </w:p>
        </w:tc>
        <w:tc>
          <w:tcPr>
            <w:tcW w:type="dxa" w:w="1616"/>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t>60.6%</w:t>
            </w:r>
          </w:p>
        </w:tc>
        <w:tc>
          <w:tcPr>
            <w:tcW w:type="dxa" w:w="1616"/>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t>58.0%</w:t>
            </w:r>
          </w:p>
        </w:tc>
        <w:tc>
          <w:tcPr>
            <w:tcW w:type="dxa" w:w="1276"/>
            <w:tcBorders>
              <w:bottom w:val="single" w:sz="8" w:space="0" w:color="000000"/>
            </w:tcBorders>
          </w:tcPr>
          <w:p>
            <w:pPr>
              <w:jc w:val="center"/>
              <w:spacing w:before="20" w:after="20" w:line="240" w:lineRule="auto"/>
            </w:pPr>
            <w:r>
              <w:rPr>
                <w:rFonts w:ascii="Times New Roman" w:hAnsi="Times New Roman"/>
                <w:b/>
                <w:i w:val="0"/>
                <w:sz w:val="18"/>
                <w:rFonts w:ascii="Times New Roman" w:hAnsi="Times New Roman" w:cs="Times New Roman" w:eastAsia="Times New Roman"/>
              </w:rPr>
              <w:t>+2.6</w:t>
            </w:r>
          </w:p>
        </w:tc>
      </w:tr>
    </w:tbl>
    <w:p>
      <w:pPr>
        <w:jc w:val="both"/>
        <w:spacing w:before="60" w:after="200" w:line="240" w:lineRule="auto"/>
      </w:pPr>
      <w:r>
        <w:rPr>
          <w:rFonts w:ascii="Times New Roman" w:hAnsi="Times New Roman"/>
          <w:b w:val="0"/>
          <w:i w:val="0"/>
          <w:sz w:val="18"/>
          <w:rFonts w:ascii="Times New Roman" w:hAnsi="Times New Roman" w:cs="Times New Roman" w:eastAsia="Times New Roman"/>
        </w:rPr>
        <w:t>The pooled base is the unconditional always-up rate over all out-of-sample rows, not the fires-weighted mean of the yearly bases (55.9%); the pooled edge is therefore the more conservative of the two comparisons.</w:t>
      </w:r>
    </w:p>
    <w:p>
      <w:pPr>
        <w:jc w:val="center"/>
        <w:spacing w:before="200" w:after="80" w:line="240" w:lineRule="auto"/>
        <w:keepNext/>
      </w:pPr>
      <w:r>
        <w:drawing>
          <wp:inline xmlns:a="http://schemas.openxmlformats.org/drawingml/2006/main" xmlns:pic="http://schemas.openxmlformats.org/drawingml/2006/picture">
            <wp:extent cx="4206240" cy="1438719"/>
            <wp:docPr id="6" name="Picture 6"/>
            <wp:cNvGraphicFramePr>
              <a:graphicFrameLocks noChangeAspect="1"/>
            </wp:cNvGraphicFramePr>
            <a:graphic>
              <a:graphicData uri="http://schemas.openxmlformats.org/drawingml/2006/picture">
                <pic:pic>
                  <pic:nvPicPr>
                    <pic:cNvPr id="0" name="fig5_deployment.png"/>
                    <pic:cNvPicPr/>
                  </pic:nvPicPr>
                  <pic:blipFill>
                    <a:blip r:embed="rId16"/>
                    <a:stretch>
                      <a:fillRect/>
                    </a:stretch>
                  </pic:blipFill>
                  <pic:spPr>
                    <a:xfrm>
                      <a:off x="0" y="0"/>
                      <a:ext cx="4206240" cy="1438719"/>
                    </a:xfrm>
                    <a:prstGeom prst="rect"/>
                  </pic:spPr>
                </pic:pic>
              </a:graphicData>
            </a:graphic>
          </wp:inline>
        </w:drawing>
      </w:r>
    </w:p>
    <w:p>
      <w:pPr>
        <w:jc w:val="both"/>
        <w:spacing w:before="0" w:after="200" w:line="240" w:lineRule="auto"/>
      </w:pPr>
      <w:r>
        <w:rPr>
          <w:rFonts w:ascii="Times New Roman" w:hAnsi="Times New Roman"/>
          <w:b/>
          <w:i/>
          <w:sz w:val="18"/>
          <w:rFonts w:ascii="Times New Roman" w:hAnsi="Times New Roman" w:cs="Times New Roman" w:eastAsia="Times New Roman"/>
        </w:rPr>
        <w:t xml:space="preserve">Figure 6. </w:t>
      </w:r>
      <w:r>
        <w:rPr>
          <w:rFonts w:ascii="Times New Roman" w:hAnsi="Times New Roman"/>
          <w:b w:val="0"/>
          <w:i w:val="0"/>
          <w:sz w:val="18"/>
          <w:rFonts w:ascii="Times New Roman" w:hAnsi="Times New Roman" w:cs="Times New Roman" w:eastAsia="Times New Roman"/>
        </w:rPr>
        <w:t>Production evidence. (a) Empirical coverage of nominal 90% price intervals on the live ledger, by horizon. (b) Fired-bucket precision of the conviction gate against the always-up base rate, by walk-forward test year, at roughly a 5.6% firing rate.</w:t>
      </w:r>
    </w:p>
    <w:p>
      <w:pPr>
        <w:spacing w:before="160" w:after="80" w:line="240" w:lineRule="auto"/>
      </w:pPr>
      <w:r>
        <w:rPr>
          <w:rFonts w:ascii="Times New Roman" w:hAnsi="Times New Roman"/>
          <w:b/>
          <w:i/>
          <w:sz w:val="22"/>
          <w:rFonts w:ascii="Times New Roman" w:hAnsi="Times New Roman" w:cs="Times New Roman" w:eastAsia="Times New Roman"/>
        </w:rPr>
        <w:t>4.9. Robustness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A null result is only worth reporting if it is not an artefact of the analyst's choices, so we varied the three that matter, in 27 re-estimations.</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The materiality floor.</w:t>
      </w:r>
      <w:r>
        <w:rPr>
          <w:rFonts w:ascii="Times New Roman" w:hAnsi="Times New Roman"/>
          <w:b w:val="0"/>
          <w:i w:val="0"/>
          <w:sz w:val="20"/>
          <w:rFonts w:ascii="Times New Roman" w:hAnsi="Times New Roman" w:cs="Times New Roman" w:eastAsia="Times New Roman"/>
        </w:rPr>
        <w:t xml:space="preserve"> Sweeping μ₀ from 0 (no floor) to 0.40 leaves the one-session coefficient on A between 12.0 and 12.2 basis points with t between 3.97 and 4.14. The floor does not bind on the conclusion, which is what one expects when the exponent on materiality is estimated at zero. One detail cuts the other way and we note it: at five sessions the information coefficient rises from 0.013 at μ₀ = 0 to 0.025 at μ₀ = 0.25 and above, with the Newey-West t going from 1.24 to 2.25. A </w:t>
      </w:r>
      <w:r>
        <w:rPr>
          <w:rFonts w:ascii="Times New Roman" w:hAnsi="Times New Roman"/>
          <w:b/>
          <w:i w:val="0"/>
          <w:sz w:val="20"/>
          <w:rFonts w:ascii="Times New Roman" w:hAnsi="Times New Roman" w:cs="Times New Roman" w:eastAsia="Times New Roman"/>
        </w:rPr>
        <w:t>hard threshold filter</w:t>
      </w:r>
      <w:r>
        <w:rPr>
          <w:rFonts w:ascii="Times New Roman" w:hAnsi="Times New Roman"/>
          <w:b w:val="0"/>
          <w:i w:val="0"/>
          <w:sz w:val="20"/>
          <w:rFonts w:ascii="Times New Roman" w:hAnsi="Times New Roman" w:cs="Times New Roman" w:eastAsia="Times New Roman"/>
        </w:rPr>
        <w:t xml:space="preserve"> thus helps where multiplicative weighting does not — consistent with the exponent surface, and consistent with what practitioners already do with vendor relevance scores.</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Overlapping versus non-overlapping windows.</w:t>
      </w:r>
      <w:r>
        <w:rPr>
          <w:rFonts w:ascii="Times New Roman" w:hAnsi="Times New Roman"/>
          <w:b w:val="0"/>
          <w:i w:val="0"/>
          <w:sz w:val="20"/>
          <w:rFonts w:ascii="Times New Roman" w:hAnsi="Times New Roman" w:cs="Times New Roman" w:eastAsia="Times New Roman"/>
        </w:rPr>
        <w:t xml:space="preserve"> Using every session rather than every H-th weakens the five-session result from 17.8 basis points (t = 2.12) to 8.9 (t = 1.68), in the direction the overlapping-observation literature predicts. We report non-overlapping windows as the primary specification for that reason; neither choice changes the comparison between aggregators, which is what the study turns on.</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Quiet sessions.</w:t>
      </w:r>
      <w:r>
        <w:rPr>
          <w:rFonts w:ascii="Times New Roman" w:hAnsi="Times New Roman"/>
          <w:b w:val="0"/>
          <w:i w:val="0"/>
          <w:sz w:val="20"/>
          <w:rFonts w:ascii="Times New Roman" w:hAnsi="Times New Roman" w:cs="Times New Roman" w:eastAsia="Times New Roman"/>
        </w:rPr>
        <w:t xml:space="preserve"> Restricting the panel to symbol-sessions carrying scored news is the primary specification, since including quiet sessions pads the sample with rows where every text aggregator is identically zero and can only dilute any difference between them.</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Repeatability of the component.</w:t>
      </w:r>
      <w:r>
        <w:rPr>
          <w:rFonts w:ascii="Times New Roman" w:hAnsi="Times New Roman"/>
          <w:b w:val="0"/>
          <w:i w:val="0"/>
          <w:sz w:val="20"/>
          <w:rFonts w:ascii="Times New Roman" w:hAnsi="Times New Roman" w:cs="Times New Roman" w:eastAsia="Times New Roman"/>
        </w:rPr>
        <w:t xml:space="preserve"> Cross-vendor agreement is reported in Section 4.1. We regard it as the weakest link in the measurement chain and the first thing a replication should attack.</w:t>
      </w:r>
    </w:p>
    <w:p>
      <w:pPr>
        <w:spacing w:before="240" w:after="120" w:line="240" w:lineRule="auto"/>
      </w:pPr>
      <w:r>
        <w:rPr>
          <w:rFonts w:ascii="Times New Roman" w:hAnsi="Times New Roman"/>
          <w:b/>
          <w:i w:val="0"/>
          <w:sz w:val="24"/>
          <w:rFonts w:ascii="Times New Roman" w:hAnsi="Times New Roman" w:cs="Times New Roman" w:eastAsia="Times New Roman"/>
        </w:rPr>
        <w:t>5. Discussion</w:t>
      </w:r>
    </w:p>
    <w:p>
      <w:pPr>
        <w:spacing w:before="160" w:after="80" w:line="240" w:lineRule="auto"/>
      </w:pPr>
      <w:r>
        <w:rPr>
          <w:rFonts w:ascii="Times New Roman" w:hAnsi="Times New Roman"/>
          <w:b/>
          <w:i/>
          <w:sz w:val="22"/>
          <w:rFonts w:ascii="Times New Roman" w:hAnsi="Times New Roman" w:cs="Times New Roman" w:eastAsia="Times New Roman"/>
        </w:rPr>
        <w:t>5.1. Why the decomposition did not pay</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Section 4.3 lets us be specific rather than speculative, and the answer has two parts.</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One attribute is not measuring what it is named.</w:t>
      </w:r>
      <w:r>
        <w:rPr>
          <w:rFonts w:ascii="Times New Roman" w:hAnsi="Times New Roman"/>
          <w:b w:val="0"/>
          <w:i w:val="0"/>
          <w:sz w:val="20"/>
          <w:rFonts w:ascii="Times New Roman" w:hAnsi="Times New Roman" w:cs="Times New Roman" w:eastAsia="Times New Roman"/>
        </w:rPr>
        <w:t xml:space="preserve"> Novelty fails its external criterion: it does not track mechanical staleness beyond what materiality already tracks, its profile against mechanical novelty is the same curve as materiality's, and it is non-monotonic besides. Materiality passes decisively, predicting absolute market-adjusted returns at 12.70 standard errors. So the 0.871 correlation is not the world telling us that novel news is material news; it is one latent importance judgement reported twice under two labels, only one of which corresponds to something external. A product of two gates cannot behave like a two-gate product when only one gate exists.</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The surviving attribute carries the wrong quantity for the task.</w:t>
      </w:r>
      <w:r>
        <w:rPr>
          <w:rFonts w:ascii="Times New Roman" w:hAnsi="Times New Roman"/>
          <w:b w:val="0"/>
          <w:i w:val="0"/>
          <w:sz w:val="20"/>
          <w:rFonts w:ascii="Times New Roman" w:hAnsi="Times New Roman" w:cs="Times New Roman" w:eastAsia="Times New Roman"/>
        </w:rPr>
        <w:t xml:space="preserve"> Materiality is by definition about magnitude irrespective of sign, and that is exactly how it behaves. Multiplying it into a </w:t>
      </w:r>
      <w:r>
        <w:rPr>
          <w:rFonts w:ascii="Times New Roman" w:hAnsi="Times New Roman"/>
          <w:b w:val="0"/>
          <w:i/>
          <w:sz w:val="20"/>
          <w:rFonts w:ascii="Times New Roman" w:hAnsi="Times New Roman" w:cs="Times New Roman" w:eastAsia="Times New Roman"/>
        </w:rPr>
        <w:t>signed</w:t>
      </w:r>
      <w:r>
        <w:rPr>
          <w:rFonts w:ascii="Times New Roman" w:hAnsi="Times New Roman"/>
          <w:b w:val="0"/>
          <w:i w:val="0"/>
          <w:sz w:val="20"/>
          <w:rFonts w:ascii="Times New Roman" w:hAnsi="Times New Roman" w:cs="Times New Roman" w:eastAsia="Times New Roman"/>
        </w:rPr>
        <w:t xml:space="preserve"> signal, as Eq. (1) does, asks a magnitude variable to sharpen a direction forecast, which it has no means of doing. This is the cleanest reading of the zero materiality exponent, and it points somewhere constructive: the same decomposition aimed at a volatility or absolute-return target, where materiality's information is of the relevant kind, is a genuinely different experiment and one we have not run.</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Attenuation remains a live secondary concern.</w:t>
      </w:r>
      <w:r>
        <w:rPr>
          <w:rFonts w:ascii="Times New Roman" w:hAnsi="Times New Roman"/>
          <w:b w:val="0"/>
          <w:i w:val="0"/>
          <w:sz w:val="20"/>
          <w:rFonts w:ascii="Times New Roman" w:hAnsi="Times New Roman" w:cs="Times New Roman" w:eastAsia="Times New Roman"/>
        </w:rPr>
        <w:t xml:space="preserve"> Cross-vendor intraclass correlations are 0.779 for polarity but only 0.565 for novelty, and the product inherits 0.601; multiplying noisy factors compounds their noise, so classical errors-in-variables would bias the measured contribution of gating toward zero. We cannot rule this out, and it is a further reason the design deserves a rematch with a better instrument rather than a dismissal. What it does not license is treating the null as a measurement artefact by assumption — and in any case attenuation cannot explain why novelty points the </w:t>
      </w:r>
      <w:r>
        <w:rPr>
          <w:rFonts w:ascii="Times New Roman" w:hAnsi="Times New Roman"/>
          <w:b w:val="0"/>
          <w:i/>
          <w:sz w:val="20"/>
          <w:rFonts w:ascii="Times New Roman" w:hAnsi="Times New Roman" w:cs="Times New Roman" w:eastAsia="Times New Roman"/>
        </w:rPr>
        <w:t>wrong way</w:t>
      </w:r>
      <w:r>
        <w:rPr>
          <w:rFonts w:ascii="Times New Roman" w:hAnsi="Times New Roman"/>
          <w:b w:val="0"/>
          <w:i w:val="0"/>
          <w:sz w:val="20"/>
          <w:rFonts w:ascii="Times New Roman" w:hAnsi="Times New Roman" w:cs="Times New Roman" w:eastAsia="Times New Roman"/>
        </w:rPr>
        <w:t xml:space="preserve"> on absolute returns, which is a validity failure and not a noise problem.</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Note also what survived. The additive combiner performed worst of all the aggregators, so collapsing the attributes by addition is clearly wrong; and a </w:t>
      </w:r>
      <w:r>
        <w:rPr>
          <w:rFonts w:ascii="Times New Roman" w:hAnsi="Times New Roman"/>
          <w:b/>
          <w:i w:val="0"/>
          <w:sz w:val="20"/>
          <w:rFonts w:ascii="Times New Roman" w:hAnsi="Times New Roman" w:cs="Times New Roman" w:eastAsia="Times New Roman"/>
        </w:rPr>
        <w:t>hard</w:t>
      </w:r>
      <w:r>
        <w:rPr>
          <w:rFonts w:ascii="Times New Roman" w:hAnsi="Times New Roman"/>
          <w:b w:val="0"/>
          <w:i w:val="0"/>
          <w:sz w:val="20"/>
          <w:rFonts w:ascii="Times New Roman" w:hAnsi="Times New Roman" w:cs="Times New Roman" w:eastAsia="Times New Roman"/>
        </w:rPr>
        <w:t xml:space="preserve"> materiality filter improved the five-session information coefficient from 0.013 to 0.025 where multiplicative weighting did not. Read together, these say that relevance information is worth using as a </w:t>
      </w:r>
      <w:r>
        <w:rPr>
          <w:rFonts w:ascii="Times New Roman" w:hAnsi="Times New Roman"/>
          <w:b w:val="0"/>
          <w:i/>
          <w:sz w:val="20"/>
          <w:rFonts w:ascii="Times New Roman" w:hAnsi="Times New Roman" w:cs="Times New Roman" w:eastAsia="Times New Roman"/>
        </w:rPr>
        <w:t>filter</w:t>
      </w:r>
      <w:r>
        <w:rPr>
          <w:rFonts w:ascii="Times New Roman" w:hAnsi="Times New Roman"/>
          <w:b w:val="0"/>
          <w:i w:val="0"/>
          <w:sz w:val="20"/>
          <w:rFonts w:ascii="Times New Roman" w:hAnsi="Times New Roman" w:cs="Times New Roman" w:eastAsia="Times New Roman"/>
        </w:rPr>
        <w:t xml:space="preserve"> — decide which items to look at — but not as a continuous multiplicative </w:t>
      </w:r>
      <w:r>
        <w:rPr>
          <w:rFonts w:ascii="Times New Roman" w:hAnsi="Times New Roman"/>
          <w:b w:val="0"/>
          <w:i/>
          <w:sz w:val="20"/>
          <w:rFonts w:ascii="Times New Roman" w:hAnsi="Times New Roman" w:cs="Times New Roman" w:eastAsia="Times New Roman"/>
        </w:rPr>
        <w:t>weight</w:t>
      </w:r>
      <w:r>
        <w:rPr>
          <w:rFonts w:ascii="Times New Roman" w:hAnsi="Times New Roman"/>
          <w:b w:val="0"/>
          <w:i w:val="0"/>
          <w:sz w:val="20"/>
          <w:rFonts w:ascii="Times New Roman" w:hAnsi="Times New Roman" w:cs="Times New Roman" w:eastAsia="Times New Roman"/>
        </w:rPr>
        <w:t xml:space="preserve"> on the ones that survive. The practitioner convention of thresholding a vendor relevance score, which the component set out to improve on, appears to be the right call.</w:t>
      </w:r>
    </w:p>
    <w:p>
      <w:pPr>
        <w:spacing w:before="160" w:after="80" w:line="240" w:lineRule="auto"/>
      </w:pPr>
      <w:r>
        <w:rPr>
          <w:rFonts w:ascii="Times New Roman" w:hAnsi="Times New Roman"/>
          <w:b/>
          <w:i/>
          <w:sz w:val="22"/>
          <w:rFonts w:ascii="Times New Roman" w:hAnsi="Times New Roman" w:cs="Times New Roman" w:eastAsia="Times New Roman"/>
        </w:rPr>
        <w:t>5.2. What the screen would have saved</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value of an acceptance test is not that it produces a verdict but that it produces the verdict </w:t>
      </w:r>
      <w:r>
        <w:rPr>
          <w:rFonts w:ascii="Times New Roman" w:hAnsi="Times New Roman"/>
          <w:b/>
          <w:i w:val="0"/>
          <w:sz w:val="20"/>
          <w:rFonts w:ascii="Times New Roman" w:hAnsi="Times New Roman" w:cs="Times New Roman" w:eastAsia="Times New Roman"/>
        </w:rPr>
        <w:t>early</w:t>
      </w:r>
      <w:r>
        <w:rPr>
          <w:rFonts w:ascii="Times New Roman" w:hAnsi="Times New Roman"/>
          <w:b w:val="0"/>
          <w:i w:val="0"/>
          <w:sz w:val="20"/>
          <w:rFonts w:ascii="Times New Roman" w:hAnsi="Times New Roman" w:cs="Times New Roman" w:eastAsia="Times New Roman"/>
        </w:rPr>
        <w:t>, and Table 4 is the accounting. Every finding in Section 4 is an implication of the screen's two regressions. That novelty and materiality collapse into one attribute implies the nested horse race cannot identify separate terms and the exponent surface is nearly flat. That the surviving attribute measures magnitude rather than direction implies the materiality exponent estimates at zero against a signed target. And neither implication leaves room for an incremental gate, which is why the selective forecaster with and without A differs by less than its own sampling error.</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3 screen objects and the 408 downstream objects are not comparable in machine time; a modern laptop runs both. They are comparable in the resource that actually binds a delivery team, which is the sequence of decisions an engineer makes while a result is still ambiguous. Each of the 243 exponent evaluations, 21 predictive regressions and 105 walk-forward fits carries a specification choice — which horizon is primary, whether to report overlapping windows, which threshold defines coverage — and each such choice is an opportunity for a result to be nudged toward the one somebody hoped for. Running the screen first removes the ambiguity that makes those choices consequential.</w:t>
      </w:r>
    </w:p>
    <w:p>
      <w:pPr>
        <w:spacing w:before="160" w:after="80" w:line="240" w:lineRule="auto"/>
      </w:pPr>
      <w:r>
        <w:rPr>
          <w:rFonts w:ascii="Times New Roman" w:hAnsi="Times New Roman"/>
          <w:b/>
          <w:i/>
          <w:sz w:val="22"/>
          <w:rFonts w:ascii="Times New Roman" w:hAnsi="Times New Roman" w:cs="Times New Roman" w:eastAsia="Times New Roman"/>
        </w:rPr>
        <w:t>5.3. Implications for information-system practice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For a team about to admit multi-attribute language-model scores into a decision-support system, the findings translate into four specific rules.</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(1)</w:t>
        <w:tab/>
      </w:r>
      <w:r>
        <w:rPr>
          <w:rFonts w:ascii="Times New Roman" w:hAnsi="Times New Roman"/>
          <w:b/>
          <w:i w:val="0"/>
          <w:sz w:val="20"/>
          <w:rFonts w:ascii="Times New Roman" w:hAnsi="Times New Roman" w:cs="Times New Roman" w:eastAsia="Times New Roman"/>
        </w:rPr>
        <w:t>Treat every prompted attribute as an instrument requiring validation, not as a column requiring monitoring.</w:t>
      </w:r>
      <w:r>
        <w:rPr>
          <w:rFonts w:ascii="Times New Roman" w:hAnsi="Times New Roman"/>
          <w:b w:val="0"/>
          <w:i w:val="0"/>
          <w:sz w:val="20"/>
          <w:rFonts w:ascii="Times New Roman" w:hAnsi="Times New Roman" w:cs="Times New Roman" w:eastAsia="Times New Roman"/>
        </w:rPr>
        <w:t xml:space="preserve"> The controls a feature pipeline already runs are all passed by an attribute that measures the wrong construct. Add a validity gate at feature onboarding, and make an attribute's criterion a mandatory field of its specification alongside its type and range.</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(2)</w:t>
        <w:tab/>
      </w:r>
      <w:r>
        <w:rPr>
          <w:rFonts w:ascii="Times New Roman" w:hAnsi="Times New Roman"/>
          <w:b/>
          <w:i w:val="0"/>
          <w:sz w:val="20"/>
          <w:rFonts w:ascii="Times New Roman" w:hAnsi="Times New Roman" w:cs="Times New Roman" w:eastAsia="Times New Roman"/>
        </w:rPr>
        <w:t>Require the criterion to be named before the scores are generated.</w:t>
      </w:r>
      <w:r>
        <w:rPr>
          <w:rFonts w:ascii="Times New Roman" w:hAnsi="Times New Roman"/>
          <w:b w:val="0"/>
          <w:i w:val="0"/>
          <w:sz w:val="20"/>
          <w:rFonts w:ascii="Times New Roman" w:hAnsi="Times New Roman" w:cs="Times New Roman" w:eastAsia="Times New Roman"/>
        </w:rPr>
        <w:t xml:space="preserve"> A criterion chosen after inspecting the scores is a rationalisation. The version of this study we would defend is the one in which each attribute's criterion was fixed by its definition: novelty against staleness, materiality against outcome magnitude.</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(3)</w:t>
        <w:tab/>
      </w:r>
      <w:r>
        <w:rPr>
          <w:rFonts w:ascii="Times New Roman" w:hAnsi="Times New Roman"/>
          <w:b/>
          <w:i w:val="0"/>
          <w:sz w:val="20"/>
          <w:rFonts w:ascii="Times New Roman" w:hAnsi="Times New Roman" w:cs="Times New Roman" w:eastAsia="Times New Roman"/>
        </w:rPr>
        <w:t>Budget attributes by validated count, not requested count.</w:t>
      </w:r>
      <w:r>
        <w:rPr>
          <w:rFonts w:ascii="Times New Roman" w:hAnsi="Times New Roman"/>
          <w:b w:val="0"/>
          <w:i w:val="0"/>
          <w:sz w:val="20"/>
          <w:rFonts w:ascii="Times New Roman" w:hAnsi="Times New Roman" w:cs="Times New Roman" w:eastAsia="Times New Roman"/>
        </w:rPr>
        <w:t xml:space="preserve"> The marginal cost of an extra attribute in the prompt is near zero, but the marginal cost of an </w:t>
      </w:r>
      <w:r>
        <w:rPr>
          <w:rFonts w:ascii="Times New Roman" w:hAnsi="Times New Roman"/>
          <w:b w:val="0"/>
          <w:i/>
          <w:sz w:val="20"/>
          <w:rFonts w:ascii="Times New Roman" w:hAnsi="Times New Roman" w:cs="Times New Roman" w:eastAsia="Times New Roman"/>
        </w:rPr>
        <w:t>unvalidated</w:t>
      </w:r>
      <w:r>
        <w:rPr>
          <w:rFonts w:ascii="Times New Roman" w:hAnsi="Times New Roman"/>
          <w:b w:val="0"/>
          <w:i w:val="0"/>
          <w:sz w:val="20"/>
          <w:rFonts w:ascii="Times New Roman" w:hAnsi="Times New Roman" w:cs="Times New Roman" w:eastAsia="Times New Roman"/>
        </w:rPr>
        <w:t xml:space="preserve"> extra attribute is the entire modelling programme built on it. In this study the ratio was 3 objects to 408.</w:t>
      </w:r>
    </w:p>
    <w:p>
      <w:pPr>
        <w:ind w:left="567" w:hanging="340"/>
        <w:jc w:val="both"/>
        <w:spacing w:before="40" w:after="40" w:line="240" w:lineRule="auto"/>
      </w:pPr>
      <w:r>
        <w:rPr>
          <w:rFonts w:ascii="Times New Roman" w:hAnsi="Times New Roman"/>
          <w:b w:val="0"/>
          <w:i w:val="0"/>
          <w:sz w:val="20"/>
          <w:rFonts w:ascii="Times New Roman" w:hAnsi="Times New Roman" w:cs="Times New Roman" w:eastAsia="Times New Roman"/>
        </w:rPr>
        <w:t>(4)</w:t>
        <w:tab/>
      </w:r>
      <w:r>
        <w:rPr>
          <w:rFonts w:ascii="Times New Roman" w:hAnsi="Times New Roman"/>
          <w:b/>
          <w:i w:val="0"/>
          <w:sz w:val="20"/>
          <w:rFonts w:ascii="Times New Roman" w:hAnsi="Times New Roman" w:cs="Times New Roman" w:eastAsia="Times New Roman"/>
        </w:rPr>
        <w:t>Record the portability of the component, not only its reproducibility.</w:t>
      </w:r>
      <w:r>
        <w:rPr>
          <w:rFonts w:ascii="Times New Roman" w:hAnsi="Times New Roman"/>
          <w:b w:val="0"/>
          <w:i w:val="0"/>
          <w:sz w:val="20"/>
          <w:rFonts w:ascii="Times New Roman" w:hAnsi="Times New Roman" w:cs="Times New Roman" w:eastAsia="Times New Roman"/>
        </w:rPr>
        <w:t xml:space="preserve"> Memoisation makes a scoring stage byte-for-byte repeatable and tells a system owner nothing about what happens when the vendor changes. The rescoring test cost 250 calls and revealed that the attribute the validity screen rejects is also the one two vendors agree on least.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There is also a negative recommendation. The most reusable part of the screen is Step 5 — checking that the criterion is the right </w:t>
      </w:r>
      <w:r>
        <w:rPr>
          <w:rFonts w:ascii="Times New Roman" w:hAnsi="Times New Roman"/>
          <w:b w:val="0"/>
          <w:i/>
          <w:sz w:val="20"/>
          <w:rFonts w:ascii="Times New Roman" w:hAnsi="Times New Roman" w:cs="Times New Roman" w:eastAsia="Times New Roman"/>
        </w:rPr>
        <w:t>kind</w:t>
      </w:r>
      <w:r>
        <w:rPr>
          <w:rFonts w:ascii="Times New Roman" w:hAnsi="Times New Roman"/>
          <w:b w:val="0"/>
          <w:i w:val="0"/>
          <w:sz w:val="20"/>
          <w:rFonts w:ascii="Times New Roman" w:hAnsi="Times New Roman" w:cs="Times New Roman" w:eastAsia="Times New Roman"/>
        </w:rPr>
        <w:t xml:space="preserve"> of quantity for the task — and it is the step most easily skipped, because it feels like philosophy rather than measurement. It was the step that predicted the single most consequential number in the study, the zero materiality exponent, and it costs nothing but a sentence of thought per attribute.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Nothing in Section 3.2 is specific to equities. Any stream of timestamped textual events feeding a decision has the same structure, and the same failure mode when conceptually distinct attributes are requested from one prompt: triage of clinical alerts, operations tickets and content-moderation queues all ask how bad, how new and how consequential, and all are exposed to a model that answers the three questions with one judgement. The screen transfers directly, because its only requirement is that each attribute admit an observable criterion the others have no reason to track — for a ticket-urgency attribute, time to resolution; for a moderation-severity attribute, the eventual enforcement action. The decision-stage half of the design is an instance of selective classification [31, 32], here paired with a probability whose calibration was repaired rather than assumed, and the interval-coverage failure of Section 4.8 is exactly the problem distribution-free methods [34] are built for.</w:t>
      </w:r>
    </w:p>
    <w:p>
      <w:pPr>
        <w:spacing w:before="160" w:after="80" w:line="240" w:lineRule="auto"/>
      </w:pPr>
      <w:r>
        <w:rPr>
          <w:rFonts w:ascii="Times New Roman" w:hAnsi="Times New Roman"/>
          <w:b/>
          <w:i/>
          <w:sz w:val="22"/>
          <w:rFonts w:ascii="Times New Roman" w:hAnsi="Times New Roman" w:cs="Times New Roman" w:eastAsia="Times New Roman"/>
        </w:rPr>
        <w:t>5.4. Threats to validity and limitations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Five limitations bound what may be concluded, and we would rather state them than have them found.</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The validation market is not the deployment market.</w:t>
      </w:r>
      <w:r>
        <w:rPr>
          <w:rFonts w:ascii="Times New Roman" w:hAnsi="Times New Roman"/>
          <w:b w:val="0"/>
          <w:i w:val="0"/>
          <w:sz w:val="20"/>
          <w:rFonts w:ascii="Times New Roman" w:hAnsi="Times New Roman" w:cs="Times New Roman" w:eastAsia="Times New Roman"/>
        </w:rPr>
        <w:t xml:space="preserve"> The decomposition is tested on US headlines while the production system operates on Indian equities. We report no result that crosses that boundary, but a reader should not read the US panel as evidence about the NSE's microstructure, disclosure regime or news supply, all of which differ.</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The attributes are judgements, and one of them did not survive validation.</w:t>
      </w:r>
      <w:r>
        <w:rPr>
          <w:rFonts w:ascii="Times New Roman" w:hAnsi="Times New Roman"/>
          <w:b w:val="0"/>
          <w:i w:val="0"/>
          <w:sz w:val="20"/>
          <w:rFonts w:ascii="Times New Roman" w:hAnsi="Times New Roman" w:cs="Times New Roman" w:eastAsia="Times New Roman"/>
        </w:rPr>
        <w:t xml:space="preserve"> Anchoring the prompt tightens the scores and Section 4.1 quantifies their repeatability, but repeatability is not validity: a scorer can be perfectly consistent and consistently wrong, which is close to what the screen finds for novelty. Every result about gating is therefore a joint test of the design and of this particular instrument, and a differently worded rubric, a larger model, or a two-stage prompt that scores the attributes independently might separate them where ours did not. We consider that the single most valuable follow-up.</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The external criteria are proxies.</w:t>
      </w:r>
      <w:r>
        <w:rPr>
          <w:rFonts w:ascii="Times New Roman" w:hAnsi="Times New Roman"/>
          <w:b w:val="0"/>
          <w:i w:val="0"/>
          <w:sz w:val="20"/>
          <w:rFonts w:ascii="Times New Roman" w:hAnsi="Times New Roman" w:cs="Times New Roman" w:eastAsia="Times New Roman"/>
        </w:rPr>
        <w:t xml:space="preserve"> Lexical similarity over a thirty-day window is a serviceable but crude stand-in for what the market already knew, and absolute return is a noisy realisation of an event's true importance. A criterion failure is therefore weaker evidence than a criterion success: materiality passing is strong evidence it measures something, whereas novelty failing is consistent with both a bad attribute and a bad proxy.</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The comparison is against feasible baselines, not against a vendor feed.</w:t>
      </w:r>
      <w:r>
        <w:rPr>
          <w:rFonts w:ascii="Times New Roman" w:hAnsi="Times New Roman"/>
          <w:b w:val="0"/>
          <w:i w:val="0"/>
          <w:sz w:val="20"/>
          <w:rFonts w:ascii="Times New Roman" w:hAnsi="Times New Roman" w:cs="Times New Roman" w:eastAsia="Times New Roman"/>
        </w:rPr>
        <w:t xml:space="preserve"> The most informative comparison would be against a commercial relevance and novelty product on the same headlines. We do not have a licence for one, so threshold-filtered polarity is our best available stand-in for what a practitioner would deploy.</w:t>
      </w:r>
    </w:p>
    <w:p>
      <w:pPr>
        <w:ind w:firstLine="425"/>
        <w:jc w:val="both"/>
        <w:spacing w:before="0" w:after="0" w:line="240" w:lineRule="auto"/>
      </w:pPr>
      <w:r>
        <w:rPr>
          <w:rFonts w:ascii="Times New Roman" w:hAnsi="Times New Roman"/>
          <w:b w:val="0"/>
          <w:i/>
          <w:sz w:val="20"/>
          <w:rFonts w:ascii="Times New Roman" w:hAnsi="Times New Roman" w:cs="Times New Roman" w:eastAsia="Times New Roman"/>
        </w:rPr>
        <w:t>Selection and multiple testing.</w:t>
      </w:r>
      <w:r>
        <w:rPr>
          <w:rFonts w:ascii="Times New Roman" w:hAnsi="Times New Roman"/>
          <w:b w:val="0"/>
          <w:i w:val="0"/>
          <w:sz w:val="20"/>
          <w:rFonts w:ascii="Times New Roman" w:hAnsi="Times New Roman" w:cs="Times New Roman" w:eastAsia="Times New Roman"/>
        </w:rPr>
        <w:t xml:space="preserve"> We report several horizons, several aggregators and several feature sets. The risk-coverage curves and the non-overlapping-window specification remove the most common sources of optimism, and differences between models carry bootstrap intervals, but a reader who wants a single number with a family-wise guarantee should apply a stepdown correction [37] to the horse-race column and read the result accordingly. Applied machine learning in this domain has a well-documented tendency to discover edges that do not survive [35, 36], and we would rather our estimates be read with that prior in mind.</w:t>
      </w:r>
    </w:p>
    <w:p>
      <w:pPr>
        <w:spacing w:before="240" w:after="120" w:line="240" w:lineRule="auto"/>
      </w:pPr>
      <w:r>
        <w:rPr>
          <w:rFonts w:ascii="Times New Roman" w:hAnsi="Times New Roman"/>
          <w:b/>
          <w:i w:val="0"/>
          <w:sz w:val="24"/>
          <w:rFonts w:ascii="Times New Roman" w:hAnsi="Times New Roman" w:cs="Times New Roman" w:eastAsia="Times New Roman"/>
        </w:rPr>
        <w:t>6. Conclusions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A textual event carries direction, surprise and consequence, and there is a clean argument that these should combine multiplicatively: the product makes freshness and relevance preconditions for influence, it caps the signal at its weakest factor, and under continuity, monotonicity and ratio-scale separability it is the form the attributes must take, up to exponents the axioms leave free.</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Measured against real data, the argument does not pay. On 134,037 headlines covering 35 companies, the gated aggregate predicts market-adjusted returns at short horizons but no better than mean polarity, count-weighted polarity or threshold-filtered polarity; estimating the exponents freely puts materiality's at zero and, at five sessions, collapses the aggregate to plain polarity; and adding the gated signal to a walk-forward selective forecaster moves precision at fixed coverage by between -1.23 and +0.37 percentage points, with every interval containing zero.</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 xml:space="preserve">The explanation is in the measurement rather than in the market. Novelty and materiality, as an instruction-tuned model scores them, correlate at 0.871; validated against external criteria, only materiality survives, predicting absolute market-adjusted returns at 12.70 standard errors, while novelty fails to track mechanical staleness beyond what materiality already tracks and enters absolute returns with the wrong sign. The three-attribute decomposition is empirically a two-attribute one, and the attribute that does measure something measures </w:t>
      </w:r>
      <w:r>
        <w:rPr>
          <w:rFonts w:ascii="Times New Roman" w:hAnsi="Times New Roman"/>
          <w:b w:val="0"/>
          <w:i/>
          <w:sz w:val="20"/>
          <w:rFonts w:ascii="Times New Roman" w:hAnsi="Times New Roman" w:cs="Times New Roman" w:eastAsia="Times New Roman"/>
        </w:rPr>
        <w:t>magnitude</w:t>
      </w:r>
      <w:r>
        <w:rPr>
          <w:rFonts w:ascii="Times New Roman" w:hAnsi="Times New Roman"/>
          <w:b w:val="0"/>
          <w:i w:val="0"/>
          <w:sz w:val="20"/>
          <w:rFonts w:ascii="Times New Roman" w:hAnsi="Times New Roman" w:cs="Times New Roman" w:eastAsia="Times New Roman"/>
        </w:rPr>
        <w:t>, which a signed product has no way to exploit.</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Two things survive as positive findings. Adding the attributes is worse than multiplying them, so the case against additive combination stands. And using relevance as a hard filter rather than a continuous weight improves the five-session information coefficient from 0.013 to 0.025 — which is what practitioners already do with vendor relevance scores, now with evidence behind it. Separately, on the deployment side, nominal 90% intervals covered 70.7% of live outcomes, a three-stage recalibration cut expected calibration error from 0.345 to 0.049 without touching accuracy, and a conviction gate abstaining on 94% of names raised the thirty-day hit rate to 60.6% against a 58.0% base — evidence that calibrated abstention is worth building, independent of anything the text stage does.</w:t>
      </w:r>
    </w:p>
    <w:p>
      <w:pPr>
        <w:ind w:firstLine="425"/>
        <w:jc w:val="both"/>
        <w:spacing w:before="0" w:after="0" w:line="240" w:lineRule="auto"/>
      </w:pPr>
      <w:r>
        <w:rPr>
          <w:rFonts w:ascii="Times New Roman" w:hAnsi="Times New Roman"/>
          <w:b w:val="0"/>
          <w:i w:val="0"/>
          <w:sz w:val="20"/>
          <w:rFonts w:ascii="Times New Roman" w:hAnsi="Times New Roman" w:cs="Times New Roman" w:eastAsia="Times New Roman"/>
        </w:rPr>
        <w:t>The engineering conclusion is the ratio. The modelling programme that established all of the above comprised 408 fitted objects. The screen that implied all of it comprised 3, used no labelled data, and added 0 calls to the scoring model. As multi-attribute prompting spreads through decision-support pipelines, the constraint on feature quality will not be the cost of generating attributes; it will be the discipline to verify that the attributes generated are the ones that were asked for. Two experiments follow directly from this one and neither is run here: an instrument whose novelty channel passes an external validity check would give the design the fair test it has not yet had, and pointing the same decomposition at a volatility or absolute-return target asks the question the signed formulation cannot. The measurements reported here are designed to make both possible.</w:t>
      </w:r>
    </w:p>
    <w:p>
      <w:pPr>
        <w:spacing w:before="240" w:after="120" w:line="240" w:lineRule="auto"/>
      </w:pPr>
      <w:r>
        <w:rPr>
          <w:rFonts w:ascii="Times New Roman" w:hAnsi="Times New Roman"/>
          <w:b/>
          <w:i w:val="0"/>
          <w:sz w:val="24"/>
          <w:rFonts w:ascii="Times New Roman" w:hAnsi="Times New Roman" w:cs="Times New Roman" w:eastAsia="Times New Roman"/>
        </w:rPr>
        <w:t>Author Contributions</w:t>
      </w:r>
    </w:p>
    <w:p>
      <w:pPr>
        <w:jc w:val="both"/>
        <w:spacing w:before="40" w:after="120" w:line="240" w:lineRule="auto"/>
      </w:pPr>
      <w:r>
        <w:rPr>
          <w:rFonts w:ascii="Times New Roman" w:hAnsi="Times New Roman"/>
          <w:b w:val="0"/>
          <w:i w:val="0"/>
          <w:sz w:val="18"/>
          <w:rFonts w:ascii="Times New Roman" w:hAnsi="Times New Roman" w:cs="Times New Roman" w:eastAsia="Times New Roman"/>
        </w:rPr>
        <w:t>A.P. designed the study, implemented the scoring, panel, screen and evaluation code, produced the figures and tables, and drafted the manuscript. S.D. contributed to the study design and the interpretation of the validity results, supervised the work, and revised the manuscript. Both authors have read and agreed to the published version of the manuscript.</w:t>
      </w:r>
    </w:p>
    <w:p>
      <w:pPr>
        <w:spacing w:before="240" w:after="120" w:line="240" w:lineRule="auto"/>
      </w:pPr>
      <w:r>
        <w:rPr>
          <w:rFonts w:ascii="Times New Roman" w:hAnsi="Times New Roman"/>
          <w:b/>
          <w:i w:val="0"/>
          <w:sz w:val="24"/>
          <w:rFonts w:ascii="Times New Roman" w:hAnsi="Times New Roman" w:cs="Times New Roman" w:eastAsia="Times New Roman"/>
        </w:rPr>
        <w:t>Funding</w:t>
      </w:r>
    </w:p>
    <w:p>
      <w:pPr>
        <w:jc w:val="both"/>
        <w:spacing w:before="40" w:after="120" w:line="240" w:lineRule="auto"/>
      </w:pPr>
      <w:r>
        <w:rPr>
          <w:rFonts w:ascii="Times New Roman" w:hAnsi="Times New Roman"/>
          <w:b w:val="0"/>
          <w:i w:val="0"/>
          <w:sz w:val="18"/>
          <w:rFonts w:ascii="Times New Roman" w:hAnsi="Times New Roman" w:cs="Times New Roman" w:eastAsia="Times New Roman"/>
        </w:rPr>
        <w:t>This research received no external funding.</w:t>
      </w:r>
    </w:p>
    <w:p>
      <w:pPr>
        <w:spacing w:before="240" w:after="120" w:line="240" w:lineRule="auto"/>
      </w:pPr>
      <w:r>
        <w:rPr>
          <w:rFonts w:ascii="Times New Roman" w:hAnsi="Times New Roman"/>
          <w:b/>
          <w:i w:val="0"/>
          <w:sz w:val="24"/>
          <w:rFonts w:ascii="Times New Roman" w:hAnsi="Times New Roman" w:cs="Times New Roman" w:eastAsia="Times New Roman"/>
        </w:rPr>
        <w:t>Conflict of Interest Statement</w:t>
      </w:r>
    </w:p>
    <w:p>
      <w:pPr>
        <w:jc w:val="both"/>
        <w:spacing w:before="40" w:after="120" w:line="240" w:lineRule="auto"/>
      </w:pPr>
      <w:r>
        <w:rPr>
          <w:rFonts w:ascii="Times New Roman" w:hAnsi="Times New Roman"/>
          <w:b w:val="0"/>
          <w:i w:val="0"/>
          <w:sz w:val="18"/>
          <w:rFonts w:ascii="Times New Roman" w:hAnsi="Times New Roman" w:cs="Times New Roman" w:eastAsia="Times New Roman"/>
        </w:rPr>
        <w:t>The authors declare no conflict of interest.</w:t>
      </w:r>
    </w:p>
    <w:p>
      <w:pPr>
        <w:spacing w:before="240" w:after="120" w:line="240" w:lineRule="auto"/>
      </w:pPr>
      <w:r>
        <w:rPr>
          <w:rFonts w:ascii="Times New Roman" w:hAnsi="Times New Roman"/>
          <w:b/>
          <w:i w:val="0"/>
          <w:sz w:val="24"/>
          <w:rFonts w:ascii="Times New Roman" w:hAnsi="Times New Roman" w:cs="Times New Roman" w:eastAsia="Times New Roman"/>
        </w:rPr>
        <w:t>Data Availability Statement</w:t>
      </w:r>
    </w:p>
    <w:p>
      <w:pPr>
        <w:jc w:val="both"/>
        <w:spacing w:before="40" w:after="120" w:line="240" w:lineRule="auto"/>
      </w:pPr>
      <w:r>
        <w:rPr>
          <w:rFonts w:ascii="Times New Roman" w:hAnsi="Times New Roman"/>
          <w:b w:val="0"/>
          <w:i w:val="0"/>
          <w:sz w:val="18"/>
          <w:rFonts w:ascii="Times New Roman" w:hAnsi="Times New Roman" w:cs="Times New Roman" w:eastAsia="Times New Roman"/>
        </w:rPr>
        <w:t>The FNSPID news corpus used for the validation panel is publicly available; price data are public end-of-day records. The scored attribute values, the derived panel, the analysis code and the production forecast ledger underlying the reported tables and figures are available from the corresponding author on reasonable request.</w:t>
      </w:r>
    </w:p>
    <w:p>
      <w:pPr>
        <w:spacing w:before="240" w:after="120" w:line="240" w:lineRule="auto"/>
      </w:pPr>
      <w:r>
        <w:rPr>
          <w:rFonts w:ascii="Times New Roman" w:hAnsi="Times New Roman"/>
          <w:b/>
          <w:i w:val="0"/>
          <w:sz w:val="24"/>
          <w:rFonts w:ascii="Times New Roman" w:hAnsi="Times New Roman" w:cs="Times New Roman" w:eastAsia="Times New Roman"/>
        </w:rPr>
        <w:t>Use of Generative Artificial Intelligence</w:t>
      </w:r>
    </w:p>
    <w:p>
      <w:pPr>
        <w:jc w:val="both"/>
        <w:spacing w:before="40" w:after="120" w:line="240" w:lineRule="auto"/>
      </w:pPr>
      <w:r>
        <w:rPr>
          <w:rFonts w:ascii="Times New Roman" w:hAnsi="Times New Roman"/>
          <w:b w:val="0"/>
          <w:i w:val="0"/>
          <w:sz w:val="18"/>
          <w:rFonts w:ascii="Times New Roman" w:hAnsi="Times New Roman" w:cs="Times New Roman" w:eastAsia="Times New Roman"/>
        </w:rPr>
        <w:t>An instruction-tuned language model is used as a measurement instrument within the system under study, scoring headlines along the three attributes from the anchored rubric of Section 3.4; those outputs are persisted for audit. During manuscript preparation a large language model was used solely to improve language and readability. No generative tool produced the data, results, figures or interpretations, and the authors take full responsibility for the content.</w:t>
      </w:r>
    </w:p>
    <w:p>
      <w:pPr>
        <w:spacing w:before="240" w:after="120" w:line="240" w:lineRule="auto"/>
      </w:pPr>
      <w:r>
        <w:rPr>
          <w:rFonts w:ascii="Times New Roman" w:hAnsi="Times New Roman"/>
          <w:b/>
          <w:i w:val="0"/>
          <w:sz w:val="24"/>
          <w:rFonts w:ascii="Times New Roman" w:hAnsi="Times New Roman" w:cs="Times New Roman" w:eastAsia="Times New Roman"/>
        </w:rPr>
        <w:t>References</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w:t>
        <w:tab/>
      </w:r>
      <w:r>
        <w:rPr>
          <w:rFonts w:ascii="Times New Roman" w:hAnsi="Times New Roman"/>
          <w:b w:val="0"/>
          <w:i w:val="0"/>
          <w:sz w:val="18"/>
          <w:rFonts w:ascii="Times New Roman" w:hAnsi="Times New Roman" w:cs="Times New Roman" w:eastAsia="Times New Roman"/>
        </w:rPr>
        <w:t>Breck, Eric, Cai, Shanqing, Nielsen, Eric, Salib, Michael, and Sculley, D., "The ML test score: a rubric for ML production readiness and technical debt reduction", 2017 IEEE International Conference on Big Data (Big Data), pp. 1123-1132, 2017. doi:10.1109/BigData.2017.8258038.</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w:t>
        <w:tab/>
      </w:r>
      <w:r>
        <w:rPr>
          <w:rFonts w:ascii="Times New Roman" w:hAnsi="Times New Roman"/>
          <w:b w:val="0"/>
          <w:i w:val="0"/>
          <w:sz w:val="18"/>
          <w:rFonts w:ascii="Times New Roman" w:hAnsi="Times New Roman" w:cs="Times New Roman" w:eastAsia="Times New Roman"/>
        </w:rPr>
        <w:t>Polyzotis, Neoklis, Roy, Sudip, Whang, Steven Euijong, and Zinkevich, Martin, "Data lifecycle challenges in production machine learning: a survey", ACM SIGMOD Record, vol. 47, no. 2, pp. 17-28, 2018. doi:10.1145/3299887.3299891.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w:t>
        <w:tab/>
      </w:r>
      <w:r>
        <w:rPr>
          <w:rFonts w:ascii="Times New Roman" w:hAnsi="Times New Roman"/>
          <w:b w:val="0"/>
          <w:i w:val="0"/>
          <w:sz w:val="18"/>
          <w:rFonts w:ascii="Times New Roman" w:hAnsi="Times New Roman" w:cs="Times New Roman" w:eastAsia="Times New Roman"/>
        </w:rPr>
        <w:t>Wang, Richard Y., and Strong, Diane M., "Beyond accuracy: what data quality means to data consumers", Journal of Management Information Systems, vol. 12, no. 4, pp. 5-33, 1996. doi:10.1080/07421222.1996.11518099.</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w:t>
        <w:tab/>
      </w:r>
      <w:r>
        <w:rPr>
          <w:rFonts w:ascii="Times New Roman" w:hAnsi="Times New Roman"/>
          <w:b w:val="0"/>
          <w:i w:val="0"/>
          <w:sz w:val="18"/>
          <w:rFonts w:ascii="Times New Roman" w:hAnsi="Times New Roman" w:cs="Times New Roman" w:eastAsia="Times New Roman"/>
        </w:rPr>
        <w:t>Batini, Carlo, Cappiello, Cinzia, Francalanci, Chiara, and Maurino, Andrea, "Methodologies for data quality assessment and improvement", ACM Computing Surveys, vol. 41, no. 3, pp. 1-52, 2009. doi:10.1145/1541880.1541883.</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5.</w:t>
        <w:tab/>
      </w:r>
      <w:r>
        <w:rPr>
          <w:rFonts w:ascii="Times New Roman" w:hAnsi="Times New Roman"/>
          <w:b w:val="0"/>
          <w:i w:val="0"/>
          <w:sz w:val="18"/>
          <w:rFonts w:ascii="Times New Roman" w:hAnsi="Times New Roman" w:cs="Times New Roman" w:eastAsia="Times New Roman"/>
        </w:rPr>
        <w:t>Cronbach, Lee J., and Meehl, Paul E., "Construct validity in psychological tests", Psychological Bulletin, vol. 52, no. 4, pp. 281-302, 1955. doi:10.1037/h0040957.</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6.</w:t>
        <w:tab/>
      </w:r>
      <w:r>
        <w:rPr>
          <w:rFonts w:ascii="Times New Roman" w:hAnsi="Times New Roman"/>
          <w:b w:val="0"/>
          <w:i w:val="0"/>
          <w:sz w:val="18"/>
          <w:rFonts w:ascii="Times New Roman" w:hAnsi="Times New Roman" w:cs="Times New Roman" w:eastAsia="Times New Roman"/>
        </w:rPr>
        <w:t>Campbell, Donald T., and Fiske, Donald W., "Convergent and discriminant validation by the multitrait-multimethod matrix", Psychological Bulletin, vol. 56, no. 2, pp. 81-105, 1959. doi:10.1037/h0046016.</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7.</w:t>
        <w:tab/>
      </w:r>
      <w:r>
        <w:rPr>
          <w:rFonts w:ascii="Times New Roman" w:hAnsi="Times New Roman"/>
          <w:b w:val="0"/>
          <w:i w:val="0"/>
          <w:sz w:val="18"/>
          <w:rFonts w:ascii="Times New Roman" w:hAnsi="Times New Roman" w:cs="Times New Roman" w:eastAsia="Times New Roman"/>
        </w:rPr>
        <w:t>Brown, Tom B., Mann, Benjamin, Ryder, Nick, Subbiah, Melanie, and others, "Language models are few-shot learners", Advances in Neural Information Processing Systems, vol. 33, pp. 1877-1901, 2020.</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8.</w:t>
        <w:tab/>
      </w:r>
      <w:r>
        <w:rPr>
          <w:rFonts w:ascii="Times New Roman" w:hAnsi="Times New Roman"/>
          <w:b w:val="0"/>
          <w:i w:val="0"/>
          <w:sz w:val="18"/>
          <w:rFonts w:ascii="Times New Roman" w:hAnsi="Times New Roman" w:cs="Times New Roman" w:eastAsia="Times New Roman"/>
        </w:rPr>
        <w:t>Lopez-Lira, Alejandro, and Tang, Yuehua, "Can ChatGPT forecast stock price movements? Return predictability and large language models", SSRN Electronic Journal, 2023. doi:10.2139/ssrn.4412788.</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9.</w:t>
        <w:tab/>
      </w:r>
      <w:r>
        <w:rPr>
          <w:rFonts w:ascii="Times New Roman" w:hAnsi="Times New Roman"/>
          <w:b w:val="0"/>
          <w:i w:val="0"/>
          <w:sz w:val="18"/>
          <w:rFonts w:ascii="Times New Roman" w:hAnsi="Times New Roman" w:cs="Times New Roman" w:eastAsia="Times New Roman"/>
        </w:rPr>
        <w:t>Jha, Manish, Qian, Jialin, Weber, Michael, and Yang, Baozhong, "ChatGPT and corporate policies", NBER Working Paper, no. w32161, 2024. doi:10.3386/w32161.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10.</w:t>
        <w:tab/>
      </w:r>
      <w:r>
        <w:rPr>
          <w:rFonts w:ascii="Times New Roman" w:hAnsi="Times New Roman"/>
          <w:b w:val="0"/>
          <w:i w:val="0"/>
          <w:sz w:val="18"/>
          <w:rFonts w:ascii="Times New Roman" w:hAnsi="Times New Roman" w:cs="Times New Roman" w:eastAsia="Times New Roman"/>
        </w:rPr>
        <w:t>Steyvers, Mark, Tejeda, Heliodoro, Kumar, Aakriti, Belem, Catarina, and others, "What large language models know and what people think they know", Nature Machine Intelligence, vol. 7, pp. 221-231, 2025. doi:10.1038/s42256-024-00976-7.</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11.</w:t>
        <w:tab/>
      </w:r>
      <w:r>
        <w:rPr>
          <w:rFonts w:ascii="Times New Roman" w:hAnsi="Times New Roman"/>
          <w:b w:val="0"/>
          <w:i w:val="0"/>
          <w:sz w:val="18"/>
          <w:rFonts w:ascii="Times New Roman" w:hAnsi="Times New Roman" w:cs="Times New Roman" w:eastAsia="Times New Roman"/>
        </w:rPr>
        <w:t>Tetlock, Paul C., "All the news that's fit to reprint: do investors react to stale information?", The Review of Financial Studies, vol. 24, no. 5, pp. 1481-1512, 2011. doi:10.1093/rfs/hhq141.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12.</w:t>
        <w:tab/>
      </w:r>
      <w:r>
        <w:rPr>
          <w:rFonts w:ascii="Times New Roman" w:hAnsi="Times New Roman"/>
          <w:b w:val="0"/>
          <w:i w:val="0"/>
          <w:sz w:val="18"/>
          <w:rFonts w:ascii="Times New Roman" w:hAnsi="Times New Roman" w:cs="Times New Roman" w:eastAsia="Times New Roman"/>
        </w:rPr>
        <w:t>Boudoukh, Jacob, Feldman, Ronen, Kogan, Shimon, and Richardson, Matthew, "Information, trading, and volatility: evidence from firm-specific news", The Review of Financial Studies, vol. 32, no. 3, pp. 992-1033, 2019. doi:10.1093/rfs/hhy083.</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13.</w:t>
        <w:tab/>
      </w:r>
      <w:r>
        <w:rPr>
          <w:rFonts w:ascii="Times New Roman" w:hAnsi="Times New Roman"/>
          <w:b w:val="0"/>
          <w:i w:val="0"/>
          <w:sz w:val="18"/>
          <w:rFonts w:ascii="Times New Roman" w:hAnsi="Times New Roman" w:cs="Times New Roman" w:eastAsia="Times New Roman"/>
        </w:rPr>
        <w:t>Dang, Tri Vi, Moshirian, Fariborz, and Zhang, Bohui, "Commonality in news around the world", Journal of Financial Economics, vol. 116, no. 1, pp. 82-110, 2015. doi:10.1016/j.jfineco.2014.11.007.</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14.</w:t>
        <w:tab/>
      </w:r>
      <w:r>
        <w:rPr>
          <w:rFonts w:ascii="Times New Roman" w:hAnsi="Times New Roman"/>
          <w:b w:val="0"/>
          <w:i w:val="0"/>
          <w:sz w:val="18"/>
          <w:rFonts w:ascii="Times New Roman" w:hAnsi="Times New Roman" w:cs="Times New Roman" w:eastAsia="Times New Roman"/>
        </w:rPr>
        <w:t>Kelly, Bryan, Manela, Asaf, and Moreira, Alan, "Text selection", Journal of Business &amp; Economic Statistics, vol. 39, no. 4, pp. 859-879, 2021. doi:10.1080/07350015.2021.1947843.</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15.</w:t>
        <w:tab/>
      </w:r>
      <w:r>
        <w:rPr>
          <w:rFonts w:ascii="Times New Roman" w:hAnsi="Times New Roman"/>
          <w:b w:val="0"/>
          <w:i w:val="0"/>
          <w:sz w:val="18"/>
          <w:rFonts w:ascii="Times New Roman" w:hAnsi="Times New Roman" w:cs="Times New Roman" w:eastAsia="Times New Roman"/>
        </w:rPr>
        <w:t>Hillert, Alexander, Jacobs, Heiko, and Müller, Sebastian, "Media makes momentum", The Review of Financial Studies, vol. 27, no. 12, pp. 3467-3501, 2014. doi:10.1093/rfs/hhu061.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16.</w:t>
        <w:tab/>
      </w:r>
      <w:r>
        <w:rPr>
          <w:rFonts w:ascii="Times New Roman" w:hAnsi="Times New Roman"/>
          <w:b w:val="0"/>
          <w:i w:val="0"/>
          <w:sz w:val="18"/>
          <w:rFonts w:ascii="Times New Roman" w:hAnsi="Times New Roman" w:cs="Times New Roman" w:eastAsia="Times New Roman"/>
        </w:rPr>
        <w:t>DellaVigna, Stefano, and Pollet, Joshua M., "Investor inattention and Friday earnings announcements", The Journal of Finance, vol. 64, no. 2, pp. 709-749, 2009. doi:10.1111/j.1540-6261.2009.01447.x.</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17.</w:t>
        <w:tab/>
      </w:r>
      <w:r>
        <w:rPr>
          <w:rFonts w:ascii="Times New Roman" w:hAnsi="Times New Roman"/>
          <w:b w:val="0"/>
          <w:i w:val="0"/>
          <w:sz w:val="18"/>
          <w:rFonts w:ascii="Times New Roman" w:hAnsi="Times New Roman" w:cs="Times New Roman" w:eastAsia="Times New Roman"/>
        </w:rPr>
        <w:t>Tetlock, Paul C., "Giving content to investor sentiment: the role of media in the stock market", The Journal of Finance, vol. 62, no. 3, pp. 1139-1168, 2007. doi:10.1111/j.1540-6261.2007.01232.x.</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18.</w:t>
        <w:tab/>
      </w:r>
      <w:r>
        <w:rPr>
          <w:rFonts w:ascii="Times New Roman" w:hAnsi="Times New Roman"/>
          <w:b w:val="0"/>
          <w:i w:val="0"/>
          <w:sz w:val="18"/>
          <w:rFonts w:ascii="Times New Roman" w:hAnsi="Times New Roman" w:cs="Times New Roman" w:eastAsia="Times New Roman"/>
        </w:rPr>
        <w:t>Tetlock, Paul C., Saar-Tsechansky, Maytal, and Macskassy, Sofus, "More than words: quantifying language to measure firms' fundamentals", The Journal of Finance, vol. 63, no. 3, pp. 1437-1467, 2008. doi:10.1111/j.1540-6261.2008.01362.x.</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19.</w:t>
        <w:tab/>
      </w:r>
      <w:r>
        <w:rPr>
          <w:rFonts w:ascii="Times New Roman" w:hAnsi="Times New Roman"/>
          <w:b w:val="0"/>
          <w:i w:val="0"/>
          <w:sz w:val="18"/>
          <w:rFonts w:ascii="Times New Roman" w:hAnsi="Times New Roman" w:cs="Times New Roman" w:eastAsia="Times New Roman"/>
        </w:rPr>
        <w:t>Antweiler, Werner, and Frank, Murray Z., "Is all that talk just noise? The information content of internet stock message boards", The Journal of Finance, vol. 59, no. 3, pp. 1259-1294, 2004. doi:10.1111/j.1540-6261.2004.00662.x.</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20.</w:t>
        <w:tab/>
      </w:r>
      <w:r>
        <w:rPr>
          <w:rFonts w:ascii="Times New Roman" w:hAnsi="Times New Roman"/>
          <w:b w:val="0"/>
          <w:i w:val="0"/>
          <w:sz w:val="18"/>
          <w:rFonts w:ascii="Times New Roman" w:hAnsi="Times New Roman" w:cs="Times New Roman" w:eastAsia="Times New Roman"/>
        </w:rPr>
        <w:t>Loughran, Tim, and McDonald, Bill, "When is a liability not a liability? Textual analysis, dictionaries, and 10-Ks", The Journal of Finance, vol. 66, no. 1, pp. 35-65, 2011. doi:10.1111/j.1540-6261.2010.01625.x.</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21.</w:t>
        <w:tab/>
      </w:r>
      <w:r>
        <w:rPr>
          <w:rFonts w:ascii="Times New Roman" w:hAnsi="Times New Roman"/>
          <w:b w:val="0"/>
          <w:i w:val="0"/>
          <w:sz w:val="18"/>
          <w:rFonts w:ascii="Times New Roman" w:hAnsi="Times New Roman" w:cs="Times New Roman" w:eastAsia="Times New Roman"/>
        </w:rPr>
        <w:t>Loughran, Tim, and McDonald, Bill, "Textual analysis in accounting and finance: a survey", Journal of Accounting Research, vol. 54, no. 4, pp. 1187-1230, 2016. doi:10.1111/1475-679X.12123.</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22.</w:t>
        <w:tab/>
      </w:r>
      <w:r>
        <w:rPr>
          <w:rFonts w:ascii="Times New Roman" w:hAnsi="Times New Roman"/>
          <w:b w:val="0"/>
          <w:i w:val="0"/>
          <w:sz w:val="18"/>
          <w:rFonts w:ascii="Times New Roman" w:hAnsi="Times New Roman" w:cs="Times New Roman" w:eastAsia="Times New Roman"/>
        </w:rPr>
        <w:t>Garcia, Diego, "Sentiment during recessions", The Journal of Finance, vol. 68, no. 3, pp. 1267-1300, 2013. doi:10.1111/jofi.12027.</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23.</w:t>
        <w:tab/>
      </w:r>
      <w:r>
        <w:rPr>
          <w:rFonts w:ascii="Times New Roman" w:hAnsi="Times New Roman"/>
          <w:b w:val="0"/>
          <w:i w:val="0"/>
          <w:sz w:val="18"/>
          <w:rFonts w:ascii="Times New Roman" w:hAnsi="Times New Roman" w:cs="Times New Roman" w:eastAsia="Times New Roman"/>
        </w:rPr>
        <w:t>Ke, Zheng Tracy, Kelly, Bryan T., and Xiu, Dacheng, "Predicting returns with text data", SSRN Electronic Journal, 2019. doi:10.2139/ssrn.3389884.</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24.</w:t>
        <w:tab/>
      </w:r>
      <w:r>
        <w:rPr>
          <w:rFonts w:ascii="Times New Roman" w:hAnsi="Times New Roman"/>
          <w:b w:val="0"/>
          <w:i w:val="0"/>
          <w:sz w:val="18"/>
          <w:rFonts w:ascii="Times New Roman" w:hAnsi="Times New Roman" w:cs="Times New Roman" w:eastAsia="Times New Roman"/>
        </w:rPr>
        <w:t>Huang, Allen H., Wang, Hui, and Yang, Yi, "FinBERT: a large language model for extracting information from financial text", Contemporary Accounting Research, vol. 40, no. 2, pp. 806-841, 2023. doi:10.1111/1911-3846.12832.</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25.</w:t>
        <w:tab/>
      </w:r>
      <w:r>
        <w:rPr>
          <w:rFonts w:ascii="Times New Roman" w:hAnsi="Times New Roman"/>
          <w:b w:val="0"/>
          <w:i w:val="0"/>
          <w:sz w:val="18"/>
          <w:rFonts w:ascii="Times New Roman" w:hAnsi="Times New Roman" w:cs="Times New Roman" w:eastAsia="Times New Roman"/>
        </w:rPr>
        <w:t>Gu, Shihao, Kelly, Bryan, and Xiu, Dacheng, "Empirical asset pricing via machine learning", The Review of Financial Studies, vol. 33, no. 5, pp. 2223-2273, 2020. doi:10.1093/rfs/hhaa009.</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26.</w:t>
        <w:tab/>
      </w:r>
      <w:r>
        <w:rPr>
          <w:rFonts w:ascii="Times New Roman" w:hAnsi="Times New Roman"/>
          <w:b w:val="0"/>
          <w:i w:val="0"/>
          <w:sz w:val="18"/>
          <w:rFonts w:ascii="Times New Roman" w:hAnsi="Times New Roman" w:cs="Times New Roman" w:eastAsia="Times New Roman"/>
        </w:rPr>
        <w:t>Guo, Chuan, Pleiss, Geoff, Sun, Yu, and Weinberger, Kilian Q., "On calibration of modern neural networks", Proceedings of the 34th International Conference on Machine Learning, pp. 1321-1330, 2017.</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27.</w:t>
        <w:tab/>
      </w:r>
      <w:r>
        <w:rPr>
          <w:rFonts w:ascii="Times New Roman" w:hAnsi="Times New Roman"/>
          <w:b w:val="0"/>
          <w:i w:val="0"/>
          <w:sz w:val="18"/>
          <w:rFonts w:ascii="Times New Roman" w:hAnsi="Times New Roman" w:cs="Times New Roman" w:eastAsia="Times New Roman"/>
        </w:rPr>
        <w:t>Platt, John C., "Probabilistic outputs for support vector machines and comparisons to regularized likelihood methods", Advances in Large Margin Classifiers, pp. 61-74, 1999.</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28.</w:t>
        <w:tab/>
      </w:r>
      <w:r>
        <w:rPr>
          <w:rFonts w:ascii="Times New Roman" w:hAnsi="Times New Roman"/>
          <w:b w:val="0"/>
          <w:i w:val="0"/>
          <w:sz w:val="18"/>
          <w:rFonts w:ascii="Times New Roman" w:hAnsi="Times New Roman" w:cs="Times New Roman" w:eastAsia="Times New Roman"/>
        </w:rPr>
        <w:t>Zadrozny, Bianca, and Elkan, Charles, "Transforming classifier scores into accurate multiclass probability estimates", Proceedings of the Eighth ACM SIGKDD International Conference on Knowledge Discovery and Data Mining, pp. 694-699, 2002. doi:10.1145/775047.775151.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29.</w:t>
        <w:tab/>
      </w:r>
      <w:r>
        <w:rPr>
          <w:rFonts w:ascii="Times New Roman" w:hAnsi="Times New Roman"/>
          <w:b w:val="0"/>
          <w:i w:val="0"/>
          <w:sz w:val="18"/>
          <w:rFonts w:ascii="Times New Roman" w:hAnsi="Times New Roman" w:cs="Times New Roman" w:eastAsia="Times New Roman"/>
        </w:rPr>
        <w:t>Brier, Glenn W., "Verification of forecasts expressed in terms of probability", Monthly Weather Review, vol. 78, no. 1, pp. 1-3, 1950. doi:10.1175/1520-0493(1950)078&lt;0001:VOFEIT&gt;2.0.CO;2.</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30.</w:t>
        <w:tab/>
      </w:r>
      <w:r>
        <w:rPr>
          <w:rFonts w:ascii="Times New Roman" w:hAnsi="Times New Roman"/>
          <w:b w:val="0"/>
          <w:i w:val="0"/>
          <w:sz w:val="18"/>
          <w:rFonts w:ascii="Times New Roman" w:hAnsi="Times New Roman" w:cs="Times New Roman" w:eastAsia="Times New Roman"/>
        </w:rPr>
        <w:t>Wolpert, David H., "Stacked generalization", Neural Networks, vol. 5, no. 2, pp. 241-259, 1992. doi:10.1016/S0893-6080(05)80023-1.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31.</w:t>
        <w:tab/>
      </w:r>
      <w:r>
        <w:rPr>
          <w:rFonts w:ascii="Times New Roman" w:hAnsi="Times New Roman"/>
          <w:b w:val="0"/>
          <w:i w:val="0"/>
          <w:sz w:val="18"/>
          <w:rFonts w:ascii="Times New Roman" w:hAnsi="Times New Roman" w:cs="Times New Roman" w:eastAsia="Times New Roman"/>
        </w:rPr>
        <w:t>Chow, C. K., "On optimum recognition error and reject tradeoff", IEEE Transactions on Information Theory, vol. 16, no. 1, pp. 41-46, 1970. doi:10.1109/TIT.1970.1054406.</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32.</w:t>
        <w:tab/>
      </w:r>
      <w:r>
        <w:rPr>
          <w:rFonts w:ascii="Times New Roman" w:hAnsi="Times New Roman"/>
          <w:b w:val="0"/>
          <w:i w:val="0"/>
          <w:sz w:val="18"/>
          <w:rFonts w:ascii="Times New Roman" w:hAnsi="Times New Roman" w:cs="Times New Roman" w:eastAsia="Times New Roman"/>
        </w:rPr>
        <w:t>Geifman, Yonatan, and El-Yaniv, Ran, "Selective classification for deep neural networks", Advances in Neural Information Processing Systems, vol. 30, pp. 4878-4887, 2017.</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33.</w:t>
        <w:tab/>
      </w:r>
      <w:r>
        <w:rPr>
          <w:rFonts w:ascii="Times New Roman" w:hAnsi="Times New Roman"/>
          <w:b w:val="0"/>
          <w:i w:val="0"/>
          <w:sz w:val="18"/>
          <w:rFonts w:ascii="Times New Roman" w:hAnsi="Times New Roman" w:cs="Times New Roman" w:eastAsia="Times New Roman"/>
        </w:rPr>
        <w:t>El-Yaniv, Ran, and Wiener, Yair, "On the foundations of noise-free selective classification", Journal of Machine Learning Research, vol. 11, pp. 1605-1641, 2010.</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34.</w:t>
        <w:tab/>
      </w:r>
      <w:r>
        <w:rPr>
          <w:rFonts w:ascii="Times New Roman" w:hAnsi="Times New Roman"/>
          <w:b w:val="0"/>
          <w:i w:val="0"/>
          <w:sz w:val="18"/>
          <w:rFonts w:ascii="Times New Roman" w:hAnsi="Times New Roman" w:cs="Times New Roman" w:eastAsia="Times New Roman"/>
        </w:rPr>
        <w:t>Angelopoulos, Anastasios N., and Bates, Stephen, "Conformal prediction: a gentle introduction", Foundations and Trends in Machine Learning, vol. 16, no. 4, pp. 494-591, 2023. doi:10.1561/2200000101.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35.</w:t>
        <w:tab/>
      </w:r>
      <w:r>
        <w:rPr>
          <w:rFonts w:ascii="Times New Roman" w:hAnsi="Times New Roman"/>
          <w:b w:val="0"/>
          <w:i w:val="0"/>
          <w:sz w:val="18"/>
          <w:rFonts w:ascii="Times New Roman" w:hAnsi="Times New Roman" w:cs="Times New Roman" w:eastAsia="Times New Roman"/>
        </w:rPr>
        <w:t>Bailey, David H., Borwein, Jonathan, Lopez de Prado, Marcos, and Zhu, Qiji Jim, "The probability of backtest overfitting", Journal of Computational Finance, vol. 20, no. 4, pp. 39-69, 2017. doi:10.21314/JCF.2016.322.</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36.</w:t>
        <w:tab/>
      </w:r>
      <w:r>
        <w:rPr>
          <w:rFonts w:ascii="Times New Roman" w:hAnsi="Times New Roman"/>
          <w:b w:val="0"/>
          <w:i w:val="0"/>
          <w:sz w:val="18"/>
          <w:rFonts w:ascii="Times New Roman" w:hAnsi="Times New Roman" w:cs="Times New Roman" w:eastAsia="Times New Roman"/>
        </w:rPr>
        <w:t>Harvey, Campbell R., Liu, Yan, and Zhu, Heqing, "... and the cross-section of expected returns", The Review of Financial Studies, vol. 29, no. 1, pp. 5-68, 2016. doi:10.1093/rfs/hhv059.</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37.</w:t>
        <w:tab/>
      </w:r>
      <w:r>
        <w:rPr>
          <w:rFonts w:ascii="Times New Roman" w:hAnsi="Times New Roman"/>
          <w:b w:val="0"/>
          <w:i w:val="0"/>
          <w:sz w:val="18"/>
          <w:rFonts w:ascii="Times New Roman" w:hAnsi="Times New Roman" w:cs="Times New Roman" w:eastAsia="Times New Roman"/>
        </w:rPr>
        <w:t>Romano, Joseph P., and Wolf, Michael, "Stepwise multiple testing as formalized data snooping", Econometrica, vol. 73, no. 4, pp. 1237-1282, 2005. doi:10.1111/j.1468-0262.2005.00615.x.</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38.</w:t>
        <w:tab/>
      </w:r>
      <w:r>
        <w:rPr>
          <w:rFonts w:ascii="Times New Roman" w:hAnsi="Times New Roman"/>
          <w:b w:val="0"/>
          <w:i w:val="0"/>
          <w:sz w:val="18"/>
          <w:rFonts w:ascii="Times New Roman" w:hAnsi="Times New Roman" w:cs="Times New Roman" w:eastAsia="Times New Roman"/>
        </w:rPr>
        <w:t>Debreu, Gerard, "Topological methods in cardinal utility theory", Mathematical Methods in the Social Sciences, 1959, pp. 16-26, 1960.</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39.</w:t>
        <w:tab/>
      </w:r>
      <w:r>
        <w:rPr>
          <w:rFonts w:ascii="Times New Roman" w:hAnsi="Times New Roman"/>
          <w:b w:val="0"/>
          <w:i w:val="0"/>
          <w:sz w:val="18"/>
          <w:rFonts w:ascii="Times New Roman" w:hAnsi="Times New Roman" w:cs="Times New Roman" w:eastAsia="Times New Roman"/>
        </w:rPr>
        <w:t>Gorman, W. M., "The structure of utility functions", The Review of Economic Studies, vol. 35, no. 4, pp. 367-390, 1968. doi:10.2307/2296766.</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40.</w:t>
        <w:tab/>
      </w:r>
      <w:r>
        <w:rPr>
          <w:rFonts w:ascii="Times New Roman" w:hAnsi="Times New Roman"/>
          <w:b w:val="0"/>
          <w:i w:val="0"/>
          <w:sz w:val="18"/>
          <w:rFonts w:ascii="Times New Roman" w:hAnsi="Times New Roman" w:cs="Times New Roman" w:eastAsia="Times New Roman"/>
        </w:rPr>
        <w:t>Krantz, David H., Luce, R. Duncan, Suppes, Patrick, and Tversky, Amos, "Foundations of Measurement, Volume I: Additive and Polynomial Representations", Academic Press, New York, 1971.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41.</w:t>
        <w:tab/>
      </w:r>
      <w:r>
        <w:rPr>
          <w:rFonts w:ascii="Times New Roman" w:hAnsi="Times New Roman"/>
          <w:b w:val="0"/>
          <w:i w:val="0"/>
          <w:sz w:val="18"/>
          <w:rFonts w:ascii="Times New Roman" w:hAnsi="Times New Roman" w:cs="Times New Roman" w:eastAsia="Times New Roman"/>
        </w:rPr>
        <w:t>Aczél, János, "Lectures on Functional Equations and Their Applications", Academic Press, New York, 1966.</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42.</w:t>
        <w:tab/>
      </w:r>
      <w:r>
        <w:rPr>
          <w:rFonts w:ascii="Times New Roman" w:hAnsi="Times New Roman"/>
          <w:b w:val="0"/>
          <w:i w:val="0"/>
          <w:sz w:val="18"/>
          <w:rFonts w:ascii="Times New Roman" w:hAnsi="Times New Roman" w:cs="Times New Roman" w:eastAsia="Times New Roman"/>
        </w:rPr>
        <w:t>Dong, Zihan, Fan, Xinyu, and Peng, Zhiyuan, "FNSPID: a comprehensive financial news dataset in time series", Proceedings of the 30th ACM SIGKDD Conference on Knowledge Discovery and Data Mining, pp. 4918-4927, 2024. doi:10.1145/3637528.3671629.</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43.</w:t>
        <w:tab/>
      </w:r>
      <w:r>
        <w:rPr>
          <w:rFonts w:ascii="Times New Roman" w:hAnsi="Times New Roman"/>
          <w:b w:val="0"/>
          <w:i w:val="0"/>
          <w:sz w:val="18"/>
          <w:rFonts w:ascii="Times New Roman" w:hAnsi="Times New Roman" w:cs="Times New Roman" w:eastAsia="Times New Roman"/>
        </w:rPr>
        <w:t>Parkinson, Michael, "The extreme value method for estimating the variance of the rate of return", The Journal of Business, vol. 53, no. 1, pp. 61-65, 1980. doi:10.1086/296071.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44.</w:t>
        <w:tab/>
      </w:r>
      <w:r>
        <w:rPr>
          <w:rFonts w:ascii="Times New Roman" w:hAnsi="Times New Roman"/>
          <w:b w:val="0"/>
          <w:i w:val="0"/>
          <w:sz w:val="18"/>
          <w:rFonts w:ascii="Times New Roman" w:hAnsi="Times New Roman" w:cs="Times New Roman" w:eastAsia="Times New Roman"/>
        </w:rPr>
        <w:t>Cameron, A. Colin, Gelbach, Jonah B., and Miller, Douglas L., "Robust inference with multiway clustering", Journal of Business &amp; Economic Statistics, vol. 29, no. 2, pp. 238-249, 2011. doi:10.1198/jbes.2010.07136.</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45.</w:t>
        <w:tab/>
      </w:r>
      <w:r>
        <w:rPr>
          <w:rFonts w:ascii="Times New Roman" w:hAnsi="Times New Roman"/>
          <w:b w:val="0"/>
          <w:i w:val="0"/>
          <w:sz w:val="18"/>
          <w:rFonts w:ascii="Times New Roman" w:hAnsi="Times New Roman" w:cs="Times New Roman" w:eastAsia="Times New Roman"/>
        </w:rPr>
        <w:t>Fama, Eugene F., and MacBeth, James D., "Risk, return, and equilibrium: empirical tests", Journal of Political Economy, vol. 81, no. 3, pp. 607-636, 1973. doi:10.1086/260061.</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46.</w:t>
        <w:tab/>
      </w:r>
      <w:r>
        <w:rPr>
          <w:rFonts w:ascii="Times New Roman" w:hAnsi="Times New Roman"/>
          <w:b w:val="0"/>
          <w:i w:val="0"/>
          <w:sz w:val="18"/>
          <w:rFonts w:ascii="Times New Roman" w:hAnsi="Times New Roman" w:cs="Times New Roman" w:eastAsia="Times New Roman"/>
        </w:rPr>
        <w:t>Newey, Whitney K., and West, Kenneth D., "A simple, positive semi-definite, heteroskedasticity and autocorrelation consistent covariance matrix", Econometrica, vol. 55, no. 3, pp. 703-708, 1987. doi:10.2307/1913610.</w:t>
      </w:r>
    </w:p>
    <w:p>
      <w:pPr>
        <w:ind w:left="454" w:hanging="454"/>
        <w:jc w:val="both"/>
        <w:spacing w:before="40" w:after="40" w:line="240" w:lineRule="auto"/>
      </w:pPr>
      <w:r>
        <w:rPr>
          <w:rFonts w:ascii="Times New Roman" w:hAnsi="Times New Roman"/>
          <w:b w:val="0"/>
          <w:i w:val="0"/>
          <w:sz w:val="18"/>
          <w:rFonts w:ascii="Times New Roman" w:hAnsi="Times New Roman" w:cs="Times New Roman" w:eastAsia="Times New Roman"/>
        </w:rPr>
        <w:t>47.</w:t>
        <w:tab/>
      </w:r>
      <w:r>
        <w:rPr>
          <w:rFonts w:ascii="Times New Roman" w:hAnsi="Times New Roman"/>
          <w:b w:val="0"/>
          <w:i w:val="0"/>
          <w:sz w:val="18"/>
          <w:rFonts w:ascii="Times New Roman" w:hAnsi="Times New Roman" w:cs="Times New Roman" w:eastAsia="Times New Roman"/>
        </w:rPr>
        <w:t>Shrout, Patrick E., and Fleiss, Joseph L., "Intraclass correlations: uses in assessing rater reliability", Psychological Bulletin, vol. 86, no. 2, pp. 420-428, 1979. doi:10.1037/0033-2909.86.2.420.</w:t>
      </w:r>
    </w:p>
    <w:p>
      <w:pPr>
        <w:spacing w:before="240" w:after="120" w:line="240" w:lineRule="auto"/>
      </w:pPr>
      <w:r>
        <w:rPr>
          <w:rFonts w:ascii="Times New Roman" w:hAnsi="Times New Roman"/>
          <w:b/>
          <w:i w:val="0"/>
          <w:sz w:val="24"/>
          <w:rFonts w:ascii="Times New Roman" w:hAnsi="Times New Roman" w:cs="Times New Roman" w:eastAsia="Times New Roman"/>
        </w:rPr>
        <w:t>Biographical Sketch</w:t>
      </w:r>
    </w:p>
    <w:p>
      <w:pPr>
        <w:jc w:val="both"/>
        <w:spacing w:before="40" w:after="120" w:line="240" w:lineRule="auto"/>
      </w:pPr>
      <w:r>
        <w:rPr>
          <w:rFonts w:ascii="Times New Roman" w:hAnsi="Times New Roman"/>
          <w:b/>
          <w:i w:val="0"/>
          <w:sz w:val="18"/>
          <w:rFonts w:ascii="Times New Roman" w:hAnsi="Times New Roman" w:cs="Times New Roman" w:eastAsia="Times New Roman"/>
        </w:rPr>
        <w:t>Anandkumar Pardeshi</w:t>
      </w:r>
      <w:r>
        <w:rPr>
          <w:rFonts w:ascii="Times New Roman" w:hAnsi="Times New Roman"/>
          <w:b w:val="0"/>
          <w:i w:val="0"/>
          <w:sz w:val="18"/>
          <w:rFonts w:ascii="Times New Roman" w:hAnsi="Times New Roman" w:cs="Times New Roman" w:eastAsia="Times New Roman"/>
        </w:rPr>
        <w:t xml:space="preserve"> is with the Department of Computer Science and Engineering, Fr. C. Rodrigues Institute of Technology, University of Mumbai. His work concerns applied machine learning for decision support, with an emphasis on the calibration, selective prediction and measurement validity of deployed forecasting systems.</w:t>
      </w:r>
    </w:p>
    <w:p>
      <w:pPr>
        <w:jc w:val="both"/>
        <w:spacing w:before="40" w:after="120" w:line="240" w:lineRule="auto"/>
      </w:pPr>
      <w:r>
        <w:rPr>
          <w:rFonts w:ascii="Times New Roman" w:hAnsi="Times New Roman"/>
          <w:b/>
          <w:i w:val="0"/>
          <w:sz w:val="18"/>
          <w:rFonts w:ascii="Times New Roman" w:hAnsi="Times New Roman" w:cs="Times New Roman" w:eastAsia="Times New Roman"/>
        </w:rPr>
        <w:t>Sujata Deshmukh</w:t>
      </w:r>
      <w:r>
        <w:rPr>
          <w:rFonts w:ascii="Times New Roman" w:hAnsi="Times New Roman"/>
          <w:b w:val="0"/>
          <w:i w:val="0"/>
          <w:sz w:val="18"/>
          <w:rFonts w:ascii="Times New Roman" w:hAnsi="Times New Roman" w:cs="Times New Roman" w:eastAsia="Times New Roman"/>
        </w:rPr>
        <w:t xml:space="preserve"> is with the Department of Computer Engineering, Fr. C. Rodrigues College of Engineering, University of Mumbai. Her research interests include data engineering, machine learning systems and the evaluation of intelligent information systems.</w:t>
      </w:r>
    </w:p>
    <w:p>
      <w:pPr>
        <w:spacing w:before="280" w:after="0" w:line="240" w:lineRule="auto"/>
        <w:pBdr>
          <w:bottom w:val="single" w:sz="4" w:space="1" w:color="000000"/>
        </w:pBdr>
      </w:pPr>
      <w:r>
        <w:rPr>
          <w:rFonts w:ascii="Times New Roman" w:hAnsi="Times New Roman"/>
          <w:b w:val="0"/>
          <w:i w:val="0"/>
          <w:sz w:val="18"/>
          <w:rFonts w:ascii="Times New Roman" w:hAnsi="Times New Roman" w:cs="Times New Roman" w:eastAsia="Times New Roman"/>
        </w:rPr>
      </w:r>
    </w:p>
    <w:p>
      <w:pPr>
        <w:jc w:val="both"/>
        <w:spacing w:before="80" w:after="0" w:line="240" w:lineRule="auto"/>
      </w:pPr>
      <w:r>
        <w:rPr>
          <w:rFonts w:ascii="Times New Roman" w:hAnsi="Times New Roman"/>
          <w:b w:val="0"/>
          <w:i w:val="0"/>
          <w:sz w:val="18"/>
          <w:rFonts w:ascii="Times New Roman" w:hAnsi="Times New Roman" w:cs="Times New Roman" w:eastAsia="Times New Roman"/>
        </w:rPr>
        <w:t>Copyright: © 2026 by the authors. This article is an open access article distributed under the terms and conditions of the Creative Commons Attribution (CC BY) license.</w:t>
      </w:r>
    </w:p>
    <w:sectPr w:rsidR="00FC693F" w:rsidRPr="0006063C" w:rsidSect="00034616">
      <w:footerReference w:type="default" r:id="rId9"/>
      <w:footerReference w:type="first" r:id="rId10"/>
      <w:pgSz w:w="11906" w:h="16838"/>
      <w:pgMar w:top="1417" w:right="1701"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