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B9E26" w14:textId="77777777" w:rsidR="00DD48BF" w:rsidRDefault="00D20BA2" w:rsidP="00D20BA2">
      <w:pPr>
        <w:jc w:val="center"/>
        <w:rPr>
          <w:rFonts w:ascii="Times New Roman" w:hAnsi="Times New Roman" w:cs="Times New Roman"/>
          <w:b/>
          <w:bCs/>
          <w:sz w:val="28"/>
          <w:szCs w:val="28"/>
        </w:rPr>
      </w:pPr>
      <w:r w:rsidRPr="00D20BA2">
        <w:rPr>
          <w:rFonts w:ascii="Times New Roman" w:hAnsi="Times New Roman" w:cs="Times New Roman"/>
          <w:b/>
          <w:bCs/>
          <w:sz w:val="28"/>
          <w:szCs w:val="28"/>
        </w:rPr>
        <w:t>Dynamic Uncertainty-Weighted Fusion for Multi-Source Financial Data: A Bayesian Framework for Time-Varying Source Reliability</w:t>
      </w:r>
    </w:p>
    <w:p w14:paraId="23AF055B" w14:textId="77777777" w:rsidR="00D20BA2" w:rsidRPr="00D20BA2" w:rsidRDefault="00D20BA2" w:rsidP="00D20BA2">
      <w:pPr>
        <w:pStyle w:val="NoSpacing"/>
        <w:jc w:val="center"/>
        <w:rPr>
          <w:rFonts w:ascii="Times New Roman" w:hAnsi="Times New Roman" w:cs="Times New Roman"/>
          <w:sz w:val="20"/>
          <w:szCs w:val="20"/>
        </w:rPr>
      </w:pPr>
      <w:r w:rsidRPr="00D20BA2">
        <w:rPr>
          <w:rFonts w:ascii="Times New Roman" w:hAnsi="Times New Roman" w:cs="Times New Roman"/>
          <w:sz w:val="20"/>
          <w:szCs w:val="20"/>
        </w:rPr>
        <w:t>Anandkumar Pardeshi</w:t>
      </w:r>
      <w:proofErr w:type="gramStart"/>
      <w:r w:rsidRPr="00D20BA2">
        <w:rPr>
          <w:rFonts w:ascii="Times New Roman" w:hAnsi="Times New Roman" w:cs="Times New Roman"/>
          <w:sz w:val="20"/>
          <w:szCs w:val="20"/>
          <w:vertAlign w:val="superscript"/>
        </w:rPr>
        <w:t>1,a</w:t>
      </w:r>
      <w:proofErr w:type="gramEnd"/>
      <w:r w:rsidRPr="00D20BA2">
        <w:rPr>
          <w:rFonts w:ascii="Times New Roman" w:hAnsi="Times New Roman" w:cs="Times New Roman"/>
          <w:sz w:val="20"/>
          <w:szCs w:val="20"/>
        </w:rPr>
        <w:t>, Sujata Deshmukh</w:t>
      </w:r>
      <w:r w:rsidRPr="00D20BA2">
        <w:rPr>
          <w:rFonts w:ascii="Times New Roman" w:hAnsi="Times New Roman" w:cs="Times New Roman"/>
          <w:sz w:val="20"/>
          <w:szCs w:val="20"/>
          <w:vertAlign w:val="superscript"/>
        </w:rPr>
        <w:t>2</w:t>
      </w:r>
    </w:p>
    <w:p w14:paraId="0C6D2D9B" w14:textId="77777777" w:rsidR="00D20BA2" w:rsidRPr="00D20BA2" w:rsidRDefault="00D20BA2" w:rsidP="00D20BA2">
      <w:pPr>
        <w:pStyle w:val="NoSpacing"/>
        <w:jc w:val="center"/>
        <w:rPr>
          <w:rFonts w:ascii="Times New Roman" w:hAnsi="Times New Roman" w:cs="Times New Roman"/>
          <w:sz w:val="20"/>
          <w:szCs w:val="20"/>
        </w:rPr>
      </w:pPr>
      <w:r w:rsidRPr="00D20BA2">
        <w:rPr>
          <w:rFonts w:ascii="Times New Roman" w:hAnsi="Times New Roman" w:cs="Times New Roman"/>
          <w:sz w:val="20"/>
          <w:szCs w:val="20"/>
        </w:rPr>
        <w:t>Fr. C. Rodrigues Institute of Technology, Vashi, Navi Mumbai</w:t>
      </w:r>
      <w:r w:rsidRPr="00D20BA2">
        <w:rPr>
          <w:rFonts w:ascii="Times New Roman" w:hAnsi="Times New Roman" w:cs="Times New Roman"/>
          <w:sz w:val="20"/>
          <w:szCs w:val="20"/>
          <w:vertAlign w:val="superscript"/>
        </w:rPr>
        <w:t>1</w:t>
      </w:r>
    </w:p>
    <w:p w14:paraId="537B59F7" w14:textId="77777777" w:rsidR="00D20BA2" w:rsidRDefault="00D20BA2" w:rsidP="00D20BA2">
      <w:pPr>
        <w:pStyle w:val="NoSpacing"/>
        <w:jc w:val="center"/>
        <w:rPr>
          <w:rFonts w:ascii="Times New Roman" w:hAnsi="Times New Roman" w:cs="Times New Roman"/>
          <w:sz w:val="20"/>
          <w:szCs w:val="20"/>
          <w:vertAlign w:val="superscript"/>
        </w:rPr>
      </w:pPr>
      <w:r w:rsidRPr="00D20BA2">
        <w:rPr>
          <w:rFonts w:ascii="Times New Roman" w:hAnsi="Times New Roman" w:cs="Times New Roman"/>
          <w:sz w:val="20"/>
          <w:szCs w:val="20"/>
        </w:rPr>
        <w:t>Fr. C. Rodrigues College of Engineering, Bandra, Mumbai</w:t>
      </w:r>
      <w:r w:rsidRPr="00D20BA2">
        <w:rPr>
          <w:rFonts w:ascii="Times New Roman" w:hAnsi="Times New Roman" w:cs="Times New Roman"/>
          <w:sz w:val="20"/>
          <w:szCs w:val="20"/>
          <w:vertAlign w:val="superscript"/>
        </w:rPr>
        <w:t>a,2</w:t>
      </w:r>
    </w:p>
    <w:p w14:paraId="3E373D96" w14:textId="77777777" w:rsidR="00D20BA2" w:rsidRDefault="00D20BA2" w:rsidP="00D20BA2">
      <w:pPr>
        <w:pStyle w:val="NoSpacing"/>
        <w:jc w:val="center"/>
        <w:rPr>
          <w:rFonts w:ascii="Times New Roman" w:hAnsi="Times New Roman" w:cs="Times New Roman"/>
          <w:sz w:val="20"/>
          <w:szCs w:val="20"/>
          <w:vertAlign w:val="superscript"/>
        </w:rPr>
      </w:pPr>
    </w:p>
    <w:p w14:paraId="684269B3" w14:textId="77777777" w:rsidR="00D20BA2" w:rsidRDefault="00C33689" w:rsidP="00D20BA2">
      <w:pPr>
        <w:pStyle w:val="NoSpacing"/>
        <w:jc w:val="both"/>
        <w:rPr>
          <w:rFonts w:ascii="Times New Roman" w:hAnsi="Times New Roman" w:cs="Times New Roman"/>
          <w:b/>
          <w:bCs/>
        </w:rPr>
      </w:pPr>
      <w:r w:rsidRPr="00C33689">
        <w:rPr>
          <w:rFonts w:ascii="Times New Roman" w:hAnsi="Times New Roman" w:cs="Times New Roman"/>
          <w:b/>
          <w:bCs/>
        </w:rPr>
        <w:t>Abstract</w:t>
      </w:r>
    </w:p>
    <w:p w14:paraId="56DDD96F" w14:textId="77777777" w:rsidR="00C33689" w:rsidRDefault="00D13E56" w:rsidP="00D20BA2">
      <w:pPr>
        <w:pStyle w:val="NoSpacing"/>
        <w:jc w:val="both"/>
        <w:rPr>
          <w:rFonts w:ascii="Times New Roman" w:hAnsi="Times New Roman" w:cs="Times New Roman"/>
          <w:sz w:val="20"/>
          <w:szCs w:val="20"/>
        </w:rPr>
      </w:pPr>
      <w:r w:rsidRPr="00D13E56">
        <w:rPr>
          <w:rFonts w:ascii="Times New Roman" w:hAnsi="Times New Roman" w:cs="Times New Roman"/>
          <w:sz w:val="20"/>
          <w:szCs w:val="20"/>
        </w:rPr>
        <w:t>The integration of diverse data sources—from quantitative market metrics to qualitative news sentiment—is pivotal for modern financial forecasting. However, prevailing data fusion techniques are critically hampered by their reliance on static weighting schemes, which operate under the untenable assumption of constant source reliability. This paper confronts this fundamental misalignment with the non-stationary nature of financial markets, where the predictive utility of any single source, such as news sentiment, is inherently dynamic and subject to regime shifts. We introduce a novel Bayesian framework for Dynamic Uncertainty-Weighted Fusion, designed to explicitly model and adapt to the time-varying reliability of multi-source data. The core of our methodology is a probabilistic mechanism that continuously estimates the time-dependent uncertainty (</w:t>
      </w:r>
      <w:proofErr w:type="spellStart"/>
      <w:r w:rsidRPr="00D13E56">
        <w:rPr>
          <w:rFonts w:ascii="Times New Roman" w:hAnsi="Times New Roman" w:cs="Times New Roman"/>
          <w:sz w:val="20"/>
          <w:szCs w:val="20"/>
        </w:rPr>
        <w:t>σ_i</w:t>
      </w:r>
      <w:proofErr w:type="spellEnd"/>
      <w:r w:rsidRPr="00D13E56">
        <w:rPr>
          <w:rFonts w:ascii="Times New Roman" w:hAnsi="Times New Roman" w:cs="Times New Roman"/>
          <w:sz w:val="20"/>
          <w:szCs w:val="20"/>
        </w:rPr>
        <w:t xml:space="preserve">, t) of each source, inferred from its recent predictive consistency. These evolving uncertainty measures are then transformed via a </w:t>
      </w:r>
      <w:proofErr w:type="spellStart"/>
      <w:r w:rsidRPr="00D13E56">
        <w:rPr>
          <w:rFonts w:ascii="Times New Roman" w:hAnsi="Times New Roman" w:cs="Times New Roman"/>
          <w:sz w:val="20"/>
          <w:szCs w:val="20"/>
        </w:rPr>
        <w:t>softmax</w:t>
      </w:r>
      <w:proofErr w:type="spellEnd"/>
      <w:r w:rsidRPr="00D13E56">
        <w:rPr>
          <w:rFonts w:ascii="Times New Roman" w:hAnsi="Times New Roman" w:cs="Times New Roman"/>
          <w:sz w:val="20"/>
          <w:szCs w:val="20"/>
        </w:rPr>
        <w:t xml:space="preserve"> function to generate a set of dynamic, probability-weighted coefficients. This architecture enables the fusion model to autonomously prioritize the most credible information streams at any given time, effectively discounting sources that become noisy or unreliable during periods of market stress or transition. By formalizing a principled, uncertainty-driven approach to adaptive information integration, this framework establishes a new paradigm for building robust, self-calibrating financial decision-making systems.</w:t>
      </w:r>
    </w:p>
    <w:p w14:paraId="17EB5643" w14:textId="77777777" w:rsidR="00C33689" w:rsidRDefault="00C33689" w:rsidP="00D20BA2">
      <w:pPr>
        <w:pStyle w:val="NoSpacing"/>
        <w:jc w:val="both"/>
        <w:rPr>
          <w:rFonts w:ascii="Times New Roman" w:hAnsi="Times New Roman" w:cs="Times New Roman"/>
          <w:sz w:val="20"/>
          <w:szCs w:val="20"/>
        </w:rPr>
      </w:pPr>
    </w:p>
    <w:p w14:paraId="3A590123" w14:textId="77777777" w:rsidR="00C33689" w:rsidRPr="00C33689" w:rsidRDefault="00C33689" w:rsidP="00D20BA2">
      <w:pPr>
        <w:pStyle w:val="NoSpacing"/>
        <w:jc w:val="both"/>
        <w:rPr>
          <w:rFonts w:ascii="Times New Roman" w:hAnsi="Times New Roman" w:cs="Times New Roman"/>
          <w:b/>
          <w:bCs/>
        </w:rPr>
      </w:pPr>
      <w:r w:rsidRPr="00C33689">
        <w:rPr>
          <w:rFonts w:ascii="Times New Roman" w:hAnsi="Times New Roman" w:cs="Times New Roman"/>
          <w:b/>
          <w:bCs/>
        </w:rPr>
        <w:t>Keywords</w:t>
      </w:r>
    </w:p>
    <w:p w14:paraId="038D696B" w14:textId="77777777" w:rsid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Multi-Source Data Fusion</w:t>
      </w:r>
      <w:r>
        <w:rPr>
          <w:rFonts w:ascii="Times New Roman" w:hAnsi="Times New Roman" w:cs="Times New Roman"/>
          <w:sz w:val="20"/>
          <w:szCs w:val="20"/>
        </w:rPr>
        <w:t xml:space="preserve">, </w:t>
      </w:r>
      <w:r w:rsidRPr="00C33689">
        <w:rPr>
          <w:rFonts w:ascii="Times New Roman" w:hAnsi="Times New Roman" w:cs="Times New Roman"/>
          <w:sz w:val="20"/>
          <w:szCs w:val="20"/>
        </w:rPr>
        <w:t>Bayesian Dynamic Weighting</w:t>
      </w:r>
      <w:r>
        <w:rPr>
          <w:rFonts w:ascii="Times New Roman" w:hAnsi="Times New Roman" w:cs="Times New Roman"/>
          <w:sz w:val="20"/>
          <w:szCs w:val="20"/>
        </w:rPr>
        <w:t xml:space="preserve">, </w:t>
      </w:r>
      <w:r w:rsidRPr="00C33689">
        <w:rPr>
          <w:rFonts w:ascii="Times New Roman" w:hAnsi="Times New Roman" w:cs="Times New Roman"/>
          <w:sz w:val="20"/>
          <w:szCs w:val="20"/>
        </w:rPr>
        <w:t>Financial Forecasting</w:t>
      </w:r>
      <w:r>
        <w:rPr>
          <w:rFonts w:ascii="Times New Roman" w:hAnsi="Times New Roman" w:cs="Times New Roman"/>
          <w:sz w:val="20"/>
          <w:szCs w:val="20"/>
        </w:rPr>
        <w:t xml:space="preserve">, </w:t>
      </w:r>
      <w:r w:rsidRPr="00C33689">
        <w:rPr>
          <w:rFonts w:ascii="Times New Roman" w:hAnsi="Times New Roman" w:cs="Times New Roman"/>
          <w:sz w:val="20"/>
          <w:szCs w:val="20"/>
        </w:rPr>
        <w:t>Time-Varying Uncertainty</w:t>
      </w:r>
      <w:r>
        <w:rPr>
          <w:rFonts w:ascii="Times New Roman" w:hAnsi="Times New Roman" w:cs="Times New Roman"/>
          <w:sz w:val="20"/>
          <w:szCs w:val="20"/>
        </w:rPr>
        <w:t xml:space="preserve">, </w:t>
      </w:r>
      <w:r w:rsidRPr="00C33689">
        <w:rPr>
          <w:rFonts w:ascii="Times New Roman" w:hAnsi="Times New Roman" w:cs="Times New Roman"/>
          <w:sz w:val="20"/>
          <w:szCs w:val="20"/>
        </w:rPr>
        <w:t>Market Regime Adaptation</w:t>
      </w:r>
      <w:r>
        <w:rPr>
          <w:rFonts w:ascii="Times New Roman" w:hAnsi="Times New Roman" w:cs="Times New Roman"/>
          <w:sz w:val="20"/>
          <w:szCs w:val="20"/>
        </w:rPr>
        <w:t xml:space="preserve">, </w:t>
      </w:r>
      <w:r w:rsidRPr="00C33689">
        <w:rPr>
          <w:rFonts w:ascii="Times New Roman" w:hAnsi="Times New Roman" w:cs="Times New Roman"/>
          <w:sz w:val="20"/>
          <w:szCs w:val="20"/>
        </w:rPr>
        <w:t>Heterogeneous Data Integration</w:t>
      </w:r>
    </w:p>
    <w:p w14:paraId="6311EF35" w14:textId="77777777" w:rsidR="00C33689" w:rsidRDefault="00C33689" w:rsidP="00C33689">
      <w:pPr>
        <w:pStyle w:val="NoSpacing"/>
        <w:jc w:val="both"/>
        <w:rPr>
          <w:rFonts w:ascii="Times New Roman" w:hAnsi="Times New Roman" w:cs="Times New Roman"/>
          <w:sz w:val="20"/>
          <w:szCs w:val="20"/>
        </w:rPr>
      </w:pPr>
    </w:p>
    <w:p w14:paraId="4212AD14" w14:textId="77777777" w:rsidR="00C33689" w:rsidRDefault="00C33689" w:rsidP="00C240FA">
      <w:pPr>
        <w:pStyle w:val="NoSpacing"/>
        <w:numPr>
          <w:ilvl w:val="0"/>
          <w:numId w:val="3"/>
        </w:numPr>
        <w:jc w:val="both"/>
        <w:rPr>
          <w:rFonts w:ascii="Times New Roman" w:hAnsi="Times New Roman" w:cs="Times New Roman"/>
          <w:b/>
          <w:bCs/>
        </w:rPr>
      </w:pPr>
      <w:r w:rsidRPr="00C33689">
        <w:rPr>
          <w:rFonts w:ascii="Times New Roman" w:hAnsi="Times New Roman" w:cs="Times New Roman"/>
          <w:b/>
          <w:bCs/>
        </w:rPr>
        <w:t>Introduction</w:t>
      </w:r>
    </w:p>
    <w:p w14:paraId="6186B686" w14:textId="77777777"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pursuit of alpha in financial markets has perpetually driven the evolution of predictive </w:t>
      </w:r>
      <w:proofErr w:type="spellStart"/>
      <w:r w:rsidRPr="00C33689">
        <w:rPr>
          <w:rFonts w:ascii="Times New Roman" w:hAnsi="Times New Roman" w:cs="Times New Roman"/>
          <w:sz w:val="20"/>
          <w:szCs w:val="20"/>
        </w:rPr>
        <w:t>modeling</w:t>
      </w:r>
      <w:proofErr w:type="spellEnd"/>
      <w:r w:rsidRPr="00C33689">
        <w:rPr>
          <w:rFonts w:ascii="Times New Roman" w:hAnsi="Times New Roman" w:cs="Times New Roman"/>
          <w:sz w:val="20"/>
          <w:szCs w:val="20"/>
        </w:rPr>
        <w:t xml:space="preserve">, from the foundational principles of technical and fundamental analysis to the contemporary adoption of sophisticated machine learning (ML) and deep learning (DL) algorithms. The financial forecasting landscape is now characterized by a paradigm shift from monolithic, single-source data analysis to the integration of diverse, heterogeneous data streams. This transition is </w:t>
      </w:r>
      <w:proofErr w:type="spellStart"/>
      <w:r w:rsidRPr="00C33689">
        <w:rPr>
          <w:rFonts w:ascii="Times New Roman" w:hAnsi="Times New Roman" w:cs="Times New Roman"/>
          <w:sz w:val="20"/>
          <w:szCs w:val="20"/>
        </w:rPr>
        <w:t>fueled</w:t>
      </w:r>
      <w:proofErr w:type="spellEnd"/>
      <w:r w:rsidRPr="00C33689">
        <w:rPr>
          <w:rFonts w:ascii="Times New Roman" w:hAnsi="Times New Roman" w:cs="Times New Roman"/>
          <w:sz w:val="20"/>
          <w:szCs w:val="20"/>
        </w:rPr>
        <w:t xml:space="preserve"> by the recognition that market prices are not merely a function of historical trends but are profoundly influenced by a complex tapestry of information, including breaking news, investor sentiment on social media, and novel alternative data sources [3], [5], [8]. The ability to effectively harness this multi-source information is widely regarded as the next frontier for achieving a sustainable predictive advantage [23], [32].</w:t>
      </w:r>
    </w:p>
    <w:p w14:paraId="08151FDB" w14:textId="77777777" w:rsidR="00C33689" w:rsidRPr="00C33689" w:rsidRDefault="00C33689" w:rsidP="00C33689">
      <w:pPr>
        <w:pStyle w:val="NoSpacing"/>
        <w:jc w:val="both"/>
        <w:rPr>
          <w:rFonts w:ascii="Times New Roman" w:hAnsi="Times New Roman" w:cs="Times New Roman"/>
          <w:sz w:val="20"/>
          <w:szCs w:val="20"/>
        </w:rPr>
      </w:pPr>
    </w:p>
    <w:p w14:paraId="2D73BAA0" w14:textId="77777777"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initial era of computational finance relied heavily on structured, quantitative time-series data, primarily Open-High-Low-Close-Volume (OHLCV) data and derived technical indicators. Models ranging from autoregressive integrated moving average (ARIMA) to support vector machines (SVMs) were deployed on these datasets with varying degrees of success [14], [32]. However, a significant limitation of these approaches is their inability to capture the impact of qualitative, unstructured information that drives market sentiment and, consequently, price movements. This led to the incorporation of textual data sources, such as news articles and social media feeds, </w:t>
      </w:r>
      <w:proofErr w:type="spellStart"/>
      <w:r w:rsidRPr="00C33689">
        <w:rPr>
          <w:rFonts w:ascii="Times New Roman" w:hAnsi="Times New Roman" w:cs="Times New Roman"/>
          <w:sz w:val="20"/>
          <w:szCs w:val="20"/>
        </w:rPr>
        <w:t>analyzed</w:t>
      </w:r>
      <w:proofErr w:type="spellEnd"/>
      <w:r w:rsidRPr="00C33689">
        <w:rPr>
          <w:rFonts w:ascii="Times New Roman" w:hAnsi="Times New Roman" w:cs="Times New Roman"/>
          <w:sz w:val="20"/>
          <w:szCs w:val="20"/>
        </w:rPr>
        <w:t xml:space="preserve"> using natural language processing (NLP) techniques for sentiment extraction [7], [10], [21]. Early sentiment analysis employed lexicon-based methods [33], but the field has rapidly advanced with the application of recurrent neural networks (RNNs) like LSTMs and GRUs [7], [11], and more recently, large language models (LLMs) fine-tuned for financial domains [12], [23], [25]. Concurrently, the definition of relevant data has expanded to include "alternative data," encompassing web traffic, satellite imagery, and supply chain information, which offer indirect signals about a company's health and market position [4], [29].</w:t>
      </w:r>
    </w:p>
    <w:p w14:paraId="4BCB4A17" w14:textId="77777777" w:rsidR="00C33689" w:rsidRPr="00C33689" w:rsidRDefault="00C33689" w:rsidP="00C33689">
      <w:pPr>
        <w:pStyle w:val="NoSpacing"/>
        <w:jc w:val="both"/>
        <w:rPr>
          <w:rFonts w:ascii="Times New Roman" w:hAnsi="Times New Roman" w:cs="Times New Roman"/>
          <w:sz w:val="20"/>
          <w:szCs w:val="20"/>
        </w:rPr>
      </w:pPr>
    </w:p>
    <w:p w14:paraId="50E63683" w14:textId="77777777"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natural progression from using individual data sources is their fusion into a unified predictive model. As highlighted in systematic reviews [8], [32], multi-modal fusion has become a dominant theme in recent literature. The prevailing fusion strategies can be broadly categorized into three groups: early fusion, where features from different sources are concatenated into a single input vector before being fed into a model [5], [15]; late fusion, where separate models are trained on each data source and their predictions are combined through averaging or stacking [8]; and more recently, hybrid approaches that utilize attention mechanisms to learn the importance of different features or modalities [2], [35]. For instance, Moodi et al. [15] concatenate technical indicators with sentiment scores for input into a hybrid DL model, while Haryono et al. [35] use a transformer-gated recurrent </w:t>
      </w:r>
      <w:r w:rsidRPr="00C33689">
        <w:rPr>
          <w:rFonts w:ascii="Times New Roman" w:hAnsi="Times New Roman" w:cs="Times New Roman"/>
          <w:sz w:val="20"/>
          <w:szCs w:val="20"/>
        </w:rPr>
        <w:lastRenderedPageBreak/>
        <w:t>unit architecture to process news and technical data. These studies, and others like [3] and [5], demonstrate a clear consensus: integrating multiple data sources generally yields superior performance compared to models relying on a single data type.</w:t>
      </w:r>
    </w:p>
    <w:p w14:paraId="2AC6177B" w14:textId="77777777" w:rsidR="00C33689" w:rsidRPr="00C33689" w:rsidRDefault="00C33689" w:rsidP="00C33689">
      <w:pPr>
        <w:pStyle w:val="NoSpacing"/>
        <w:jc w:val="both"/>
        <w:rPr>
          <w:rFonts w:ascii="Times New Roman" w:hAnsi="Times New Roman" w:cs="Times New Roman"/>
          <w:sz w:val="20"/>
          <w:szCs w:val="20"/>
        </w:rPr>
      </w:pPr>
    </w:p>
    <w:p w14:paraId="0C7FA600" w14:textId="77777777"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However, a critical scrutiny of the current state-of-the-art reveals a fundamental and widely unaddressed flaw: the static nature of existing fusion mechanisms. Whether through simple concatenation [15], fixed weighted averaging, or even static attention layers [2], these models implicitly assume that the predictive reliability and importance of each data source remain constant over time. This assumption is fundamentally at odds with the dynamic, non-stationary, and regime-dependent </w:t>
      </w:r>
      <w:proofErr w:type="spellStart"/>
      <w:r w:rsidRPr="00C33689">
        <w:rPr>
          <w:rFonts w:ascii="Times New Roman" w:hAnsi="Times New Roman" w:cs="Times New Roman"/>
          <w:sz w:val="20"/>
          <w:szCs w:val="20"/>
        </w:rPr>
        <w:t>behavior</w:t>
      </w:r>
      <w:proofErr w:type="spellEnd"/>
      <w:r w:rsidRPr="00C33689">
        <w:rPr>
          <w:rFonts w:ascii="Times New Roman" w:hAnsi="Times New Roman" w:cs="Times New Roman"/>
          <w:sz w:val="20"/>
          <w:szCs w:val="20"/>
        </w:rPr>
        <w:t xml:space="preserve"> of financial markets. The relative value of a data source is not immutable; it is a function of the prevailing market environment. For example, during periods of stable, trend-following markets, technical indicators may provide highly reliable signals. In contrast, during sudden, high-volatility events driven by macroeconomic news or corporate announcements, sentiment derived from news and social media may become the predominant predictive source, while technical patterns break down [21], [24]. A model with a statically high weight on technical indicators would fail to adapt during such a regime shift, leading to significant predictive errors. The systematic review by Zhang et al. [8] confirms this gap, noting that while fusion is common, the "dynamic integration of different data sources based on their time-varying predictive power" remains an open challenge.</w:t>
      </w:r>
    </w:p>
    <w:p w14:paraId="180FF916" w14:textId="77777777" w:rsidR="00C33689" w:rsidRPr="00C33689" w:rsidRDefault="00C33689" w:rsidP="00C33689">
      <w:pPr>
        <w:pStyle w:val="NoSpacing"/>
        <w:jc w:val="both"/>
        <w:rPr>
          <w:rFonts w:ascii="Times New Roman" w:hAnsi="Times New Roman" w:cs="Times New Roman"/>
          <w:sz w:val="20"/>
          <w:szCs w:val="20"/>
        </w:rPr>
      </w:pPr>
    </w:p>
    <w:p w14:paraId="37D3857A" w14:textId="77777777"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This static fusion problem is compounded by a second major shortcoming: the failure to explicitly model and incorporate source-specific predictive uncertainty. In real-world forecasting, not all signals are created equal, and their quality fluctuates. A sentiment score derived from a well-sourced, factual news article carries a different level of confidence compared to one extracted from an ambiguous or sarcastic tweet. Similarly, a technical indicator may become unreliable during low-volume, sideways market movements. Current fusion models [3], [5], [15], [35] treat the output of their constituent models (e.g., the LSTM processing news or the GRU processing technicals) as point estimates, fusing them without any regard for the moment-to-moment confidence (</w:t>
      </w:r>
      <w:proofErr w:type="spellStart"/>
      <w:r w:rsidRPr="00C33689">
        <w:rPr>
          <w:rFonts w:ascii="Times New Roman" w:hAnsi="Times New Roman" w:cs="Times New Roman"/>
          <w:sz w:val="20"/>
          <w:szCs w:val="20"/>
        </w:rPr>
        <w:t>σ_i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t) in each source's prediction. By ignoring this time-varying uncertainty, these models are unable to dynamically discount noisy or unreliable signals and prioritize more confident ones. This lack of uncertainty quantification makes the fusion process brittle and overconfident, especially during the market regimes where reliable forecasting is most critical.</w:t>
      </w:r>
    </w:p>
    <w:p w14:paraId="48B473E9" w14:textId="77777777" w:rsidR="00C33689" w:rsidRPr="00C33689" w:rsidRDefault="00C33689" w:rsidP="00C33689">
      <w:pPr>
        <w:pStyle w:val="NoSpacing"/>
        <w:jc w:val="both"/>
        <w:rPr>
          <w:rFonts w:ascii="Times New Roman" w:hAnsi="Times New Roman" w:cs="Times New Roman"/>
          <w:sz w:val="20"/>
          <w:szCs w:val="20"/>
        </w:rPr>
      </w:pPr>
    </w:p>
    <w:p w14:paraId="4DCF7C46" w14:textId="77777777"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Therefore, the central research problem this paper addresses is the development of a dynamic, uncertainty-aware fusion framework that moves beyond the static paradigms prevalent in the literature. The core thesis is that the optimal fusion of multi-source financial data requires a Bayesian approach that continuously estimates the predictive uncertainty of each source and adjusts their influence in the final model accordingly. This represents a significant paradigm shift from "what" information to fuse to "how" to fuse it intelligently and adaptively.</w:t>
      </w:r>
    </w:p>
    <w:p w14:paraId="2BDF5FF9" w14:textId="77777777" w:rsidR="00C33689" w:rsidRPr="00C33689" w:rsidRDefault="00C33689" w:rsidP="00C33689">
      <w:pPr>
        <w:pStyle w:val="NoSpacing"/>
        <w:jc w:val="both"/>
        <w:rPr>
          <w:rFonts w:ascii="Times New Roman" w:hAnsi="Times New Roman" w:cs="Times New Roman"/>
          <w:sz w:val="20"/>
          <w:szCs w:val="20"/>
        </w:rPr>
      </w:pPr>
    </w:p>
    <w:p w14:paraId="3371A56E" w14:textId="77777777" w:rsidR="00C33689" w:rsidRP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In response to this identified gap, this paper makes the following novel contributions:</w:t>
      </w:r>
    </w:p>
    <w:p w14:paraId="29E43BDD" w14:textId="77777777" w:rsidR="00C33689" w:rsidRPr="00C33689" w:rsidRDefault="00C33689" w:rsidP="00C33689">
      <w:pPr>
        <w:pStyle w:val="NoSpacing"/>
        <w:jc w:val="both"/>
        <w:rPr>
          <w:rFonts w:ascii="Times New Roman" w:hAnsi="Times New Roman" w:cs="Times New Roman"/>
          <w:sz w:val="20"/>
          <w:szCs w:val="20"/>
        </w:rPr>
      </w:pPr>
    </w:p>
    <w:p w14:paraId="33D94B07" w14:textId="77777777"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A Bayesian Framework for Dynamic Uncertainty-Weighted Fusion:</w:t>
      </w:r>
      <w:r w:rsidRPr="00C33689">
        <w:rPr>
          <w:rFonts w:ascii="Times New Roman" w:hAnsi="Times New Roman" w:cs="Times New Roman"/>
          <w:sz w:val="20"/>
          <w:szCs w:val="20"/>
        </w:rPr>
        <w:t xml:space="preserve"> We propose a novel fusion framework where the final prediction is a dynamically weighted sum of predictions from individual source-specific models. Crucially, the weights are not static parameters but are time-varying variables, </w:t>
      </w:r>
      <w:proofErr w:type="spellStart"/>
      <w:r w:rsidRPr="00C33689">
        <w:rPr>
          <w:rFonts w:ascii="Times New Roman" w:hAnsi="Times New Roman" w:cs="Times New Roman"/>
          <w:sz w:val="20"/>
          <w:szCs w:val="20"/>
        </w:rPr>
        <w:t>w_i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 computed as a function of the estimated predictive uncertainty </w:t>
      </w:r>
      <w:proofErr w:type="spellStart"/>
      <w:r w:rsidRPr="00C33689">
        <w:rPr>
          <w:rFonts w:ascii="Times New Roman" w:hAnsi="Times New Roman" w:cs="Times New Roman"/>
          <w:sz w:val="20"/>
          <w:szCs w:val="20"/>
        </w:rPr>
        <w:t>σ_i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 for each source </w:t>
      </w:r>
      <w:proofErr w:type="spellStart"/>
      <w:r w:rsidRPr="00C33689">
        <w:rPr>
          <w:rFonts w:ascii="Times New Roman" w:hAnsi="Times New Roman" w:cs="Times New Roman"/>
          <w:sz w:val="20"/>
          <w:szCs w:val="20"/>
        </w:rPr>
        <w:t>i</w:t>
      </w:r>
      <w:proofErr w:type="spellEnd"/>
      <w:r w:rsidRPr="00C33689">
        <w:rPr>
          <w:rFonts w:ascii="Times New Roman" w:hAnsi="Times New Roman" w:cs="Times New Roman"/>
          <w:sz w:val="20"/>
          <w:szCs w:val="20"/>
        </w:rPr>
        <w:t xml:space="preserve"> at time t.</w:t>
      </w:r>
    </w:p>
    <w:p w14:paraId="322018CC" w14:textId="77777777"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Time-Varying Uncertainty Quantification:</w:t>
      </w:r>
      <w:r w:rsidRPr="00C33689">
        <w:rPr>
          <w:rFonts w:ascii="Times New Roman" w:hAnsi="Times New Roman" w:cs="Times New Roman"/>
          <w:sz w:val="20"/>
          <w:szCs w:val="20"/>
        </w:rPr>
        <w:t xml:space="preserve"> We introduce a method to continuously estimate the predictive uncertainty </w:t>
      </w:r>
      <w:proofErr w:type="spellStart"/>
      <w:r w:rsidRPr="00C33689">
        <w:rPr>
          <w:rFonts w:ascii="Times New Roman" w:hAnsi="Times New Roman" w:cs="Times New Roman"/>
          <w:sz w:val="20"/>
          <w:szCs w:val="20"/>
        </w:rPr>
        <w:t>σ_</w:t>
      </w:r>
      <w:proofErr w:type="gramStart"/>
      <w:r w:rsidRPr="00C33689">
        <w:rPr>
          <w:rFonts w:ascii="Times New Roman" w:hAnsi="Times New Roman" w:cs="Times New Roman"/>
          <w:sz w:val="20"/>
          <w:szCs w:val="20"/>
        </w:rPr>
        <w:t>i,t</w:t>
      </w:r>
      <w:proofErr w:type="spellEnd"/>
      <w:proofErr w:type="gramEnd"/>
      <w:r w:rsidRPr="00C33689">
        <w:rPr>
          <w:rFonts w:ascii="Times New Roman" w:hAnsi="Times New Roman" w:cs="Times New Roman"/>
          <w:sz w:val="20"/>
          <w:szCs w:val="20"/>
        </w:rPr>
        <w:t xml:space="preserve"> for each data source. This is achieved by monitoring the recent historical performance and volatility of each source's prediction errors, providing a Bayesian-inspired measure of confidence that evolves with market conditions.</w:t>
      </w:r>
    </w:p>
    <w:p w14:paraId="14640801" w14:textId="77777777"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A Formalized Dynamic Weighting Mechanism:</w:t>
      </w:r>
      <w:r w:rsidRPr="00C33689">
        <w:rPr>
          <w:rFonts w:ascii="Times New Roman" w:hAnsi="Times New Roman" w:cs="Times New Roman"/>
          <w:sz w:val="20"/>
          <w:szCs w:val="20"/>
        </w:rPr>
        <w:t xml:space="preserve"> The fusion weights are derived through a </w:t>
      </w:r>
      <w:proofErr w:type="spellStart"/>
      <w:r w:rsidRPr="00C33689">
        <w:rPr>
          <w:rFonts w:ascii="Times New Roman" w:hAnsi="Times New Roman" w:cs="Times New Roman"/>
          <w:sz w:val="20"/>
          <w:szCs w:val="20"/>
        </w:rPr>
        <w:t>softmax</w:t>
      </w:r>
      <w:proofErr w:type="spellEnd"/>
      <w:r w:rsidRPr="00C33689">
        <w:rPr>
          <w:rFonts w:ascii="Times New Roman" w:hAnsi="Times New Roman" w:cs="Times New Roman"/>
          <w:sz w:val="20"/>
          <w:szCs w:val="20"/>
        </w:rPr>
        <w:t xml:space="preserve"> function over the negative uncertainties, formally expressed as:</w:t>
      </w:r>
    </w:p>
    <w:p w14:paraId="5C93C330" w14:textId="77777777" w:rsidR="00C33689" w:rsidRPr="00C33689" w:rsidRDefault="00C33689" w:rsidP="00C240FA">
      <w:pPr>
        <w:pStyle w:val="NoSpacing"/>
        <w:numPr>
          <w:ilvl w:val="1"/>
          <w:numId w:val="2"/>
        </w:numPr>
        <w:jc w:val="both"/>
        <w:rPr>
          <w:rFonts w:ascii="Times New Roman" w:hAnsi="Times New Roman" w:cs="Times New Roman"/>
          <w:sz w:val="20"/>
          <w:szCs w:val="20"/>
        </w:rPr>
      </w:pPr>
      <w:proofErr w:type="spellStart"/>
      <w:r w:rsidRPr="00C33689">
        <w:rPr>
          <w:rFonts w:ascii="Times New Roman" w:hAnsi="Times New Roman" w:cs="Times New Roman"/>
          <w:sz w:val="20"/>
          <w:szCs w:val="20"/>
        </w:rPr>
        <w:t>w_i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 = </w:t>
      </w:r>
      <w:proofErr w:type="gramStart"/>
      <w:r w:rsidRPr="00C33689">
        <w:rPr>
          <w:rFonts w:ascii="Times New Roman" w:hAnsi="Times New Roman" w:cs="Times New Roman"/>
          <w:sz w:val="20"/>
          <w:szCs w:val="20"/>
        </w:rPr>
        <w:t>exp(</w:t>
      </w:r>
      <w:proofErr w:type="gramEnd"/>
      <w:r w:rsidRPr="00C33689">
        <w:rPr>
          <w:rFonts w:ascii="Times New Roman" w:hAnsi="Times New Roman" w:cs="Times New Roman"/>
          <w:sz w:val="20"/>
          <w:szCs w:val="20"/>
        </w:rPr>
        <w:t>-</w:t>
      </w:r>
      <w:proofErr w:type="spellStart"/>
      <w:r w:rsidRPr="00C33689">
        <w:rPr>
          <w:rFonts w:ascii="Times New Roman" w:hAnsi="Times New Roman" w:cs="Times New Roman"/>
          <w:sz w:val="20"/>
          <w:szCs w:val="20"/>
        </w:rPr>
        <w:t>σ_i</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 xml:space="preserve">t^2) / </w:t>
      </w:r>
      <w:proofErr w:type="spellStart"/>
      <w:r w:rsidRPr="00C33689">
        <w:rPr>
          <w:rFonts w:ascii="Times New Roman" w:hAnsi="Times New Roman" w:cs="Times New Roman"/>
          <w:sz w:val="20"/>
          <w:szCs w:val="20"/>
        </w:rPr>
        <w:t>Σ_j</w:t>
      </w:r>
      <w:proofErr w:type="spellEnd"/>
      <w:r w:rsidRPr="00C33689">
        <w:rPr>
          <w:rFonts w:ascii="Times New Roman" w:hAnsi="Times New Roman" w:cs="Times New Roman"/>
          <w:sz w:val="20"/>
          <w:szCs w:val="20"/>
        </w:rPr>
        <w:t xml:space="preserve"> </w:t>
      </w:r>
      <w:proofErr w:type="gramStart"/>
      <w:r w:rsidRPr="00C33689">
        <w:rPr>
          <w:rFonts w:ascii="Times New Roman" w:hAnsi="Times New Roman" w:cs="Times New Roman"/>
          <w:sz w:val="20"/>
          <w:szCs w:val="20"/>
        </w:rPr>
        <w:t>exp(</w:t>
      </w:r>
      <w:proofErr w:type="gramEnd"/>
      <w:r w:rsidRPr="00C33689">
        <w:rPr>
          <w:rFonts w:ascii="Times New Roman" w:hAnsi="Times New Roman" w:cs="Times New Roman"/>
          <w:sz w:val="20"/>
          <w:szCs w:val="20"/>
        </w:rPr>
        <w:t>-</w:t>
      </w:r>
      <w:proofErr w:type="spellStart"/>
      <w:r w:rsidRPr="00C33689">
        <w:rPr>
          <w:rFonts w:ascii="Times New Roman" w:hAnsi="Times New Roman" w:cs="Times New Roman"/>
          <w:sz w:val="20"/>
          <w:szCs w:val="20"/>
        </w:rPr>
        <w:t>σ_j</w:t>
      </w:r>
      <w:proofErr w:type="spellEnd"/>
      <w:r w:rsidRPr="00C33689">
        <w:rPr>
          <w:rFonts w:ascii="Times New Roman" w:hAnsi="Times New Roman" w:cs="Times New Roman"/>
          <w:sz w:val="20"/>
          <w:szCs w:val="20"/>
        </w:rPr>
        <w:t>,</w:t>
      </w:r>
      <w:r w:rsidR="00C240FA">
        <w:rPr>
          <w:rFonts w:ascii="Times New Roman" w:hAnsi="Times New Roman" w:cs="Times New Roman"/>
          <w:sz w:val="20"/>
          <w:szCs w:val="20"/>
        </w:rPr>
        <w:t xml:space="preserve"> </w:t>
      </w:r>
      <w:r w:rsidRPr="00C33689">
        <w:rPr>
          <w:rFonts w:ascii="Times New Roman" w:hAnsi="Times New Roman" w:cs="Times New Roman"/>
          <w:sz w:val="20"/>
          <w:szCs w:val="20"/>
        </w:rPr>
        <w:t>t^2).</w:t>
      </w:r>
    </w:p>
    <w:p w14:paraId="2BB3E473" w14:textId="77777777" w:rsidR="00C33689" w:rsidRPr="00C33689" w:rsidRDefault="00C33689" w:rsidP="00C240FA">
      <w:pPr>
        <w:pStyle w:val="NoSpacing"/>
        <w:numPr>
          <w:ilvl w:val="1"/>
          <w:numId w:val="2"/>
        </w:numPr>
        <w:jc w:val="both"/>
        <w:rPr>
          <w:rFonts w:ascii="Times New Roman" w:hAnsi="Times New Roman" w:cs="Times New Roman"/>
          <w:sz w:val="20"/>
          <w:szCs w:val="20"/>
        </w:rPr>
      </w:pPr>
      <w:r w:rsidRPr="00C33689">
        <w:rPr>
          <w:rFonts w:ascii="Times New Roman" w:hAnsi="Times New Roman" w:cs="Times New Roman"/>
          <w:sz w:val="20"/>
          <w:szCs w:val="20"/>
        </w:rPr>
        <w:t>This formulation ensures that sources with lower uncertainty (higher confidence) are automatically assigned higher weights in the fusion process, and this weighting adapts continuously over time.</w:t>
      </w:r>
    </w:p>
    <w:p w14:paraId="2F4FEBB7" w14:textId="77777777" w:rsidR="00C33689" w:rsidRPr="00C33689" w:rsidRDefault="00C33689" w:rsidP="00C240FA">
      <w:pPr>
        <w:pStyle w:val="NoSpacing"/>
        <w:numPr>
          <w:ilvl w:val="0"/>
          <w:numId w:val="1"/>
        </w:numPr>
        <w:jc w:val="both"/>
        <w:rPr>
          <w:rFonts w:ascii="Times New Roman" w:hAnsi="Times New Roman" w:cs="Times New Roman"/>
          <w:sz w:val="20"/>
          <w:szCs w:val="20"/>
        </w:rPr>
      </w:pPr>
      <w:r w:rsidRPr="00C240FA">
        <w:rPr>
          <w:rFonts w:ascii="Times New Roman" w:hAnsi="Times New Roman" w:cs="Times New Roman"/>
          <w:b/>
          <w:bCs/>
          <w:sz w:val="20"/>
          <w:szCs w:val="20"/>
        </w:rPr>
        <w:t>Empirical Validation on Heterogeneous Data:</w:t>
      </w:r>
      <w:r w:rsidRPr="00C33689">
        <w:rPr>
          <w:rFonts w:ascii="Times New Roman" w:hAnsi="Times New Roman" w:cs="Times New Roman"/>
          <w:sz w:val="20"/>
          <w:szCs w:val="20"/>
        </w:rPr>
        <w:t xml:space="preserve"> We rigorously evaluate the proposed framework on a complex dataset integrating OHLCV data, financial news sentiment </w:t>
      </w:r>
      <w:proofErr w:type="spellStart"/>
      <w:r w:rsidRPr="00C33689">
        <w:rPr>
          <w:rFonts w:ascii="Times New Roman" w:hAnsi="Times New Roman" w:cs="Times New Roman"/>
          <w:sz w:val="20"/>
          <w:szCs w:val="20"/>
        </w:rPr>
        <w:t>analyzed</w:t>
      </w:r>
      <w:proofErr w:type="spellEnd"/>
      <w:r w:rsidRPr="00C33689">
        <w:rPr>
          <w:rFonts w:ascii="Times New Roman" w:hAnsi="Times New Roman" w:cs="Times New Roman"/>
          <w:sz w:val="20"/>
          <w:szCs w:val="20"/>
        </w:rPr>
        <w:t xml:space="preserve"> using a state-of-the-art LLM [23], and implied volatility data as an alternative source. We demonstrate that our model significantly outperforms state-of-the-art static fusion benchmarks [5], [15], [35] in terms of predictive accuracy and risk-adjusted returns, particularly during volatile market regimes.</w:t>
      </w:r>
    </w:p>
    <w:p w14:paraId="2812A073" w14:textId="77777777" w:rsidR="00C33689" w:rsidRPr="00C33689" w:rsidRDefault="00C33689" w:rsidP="00C33689">
      <w:pPr>
        <w:pStyle w:val="NoSpacing"/>
        <w:jc w:val="both"/>
        <w:rPr>
          <w:rFonts w:ascii="Times New Roman" w:hAnsi="Times New Roman" w:cs="Times New Roman"/>
          <w:sz w:val="20"/>
          <w:szCs w:val="20"/>
        </w:rPr>
      </w:pPr>
    </w:p>
    <w:p w14:paraId="6DA234DD" w14:textId="77777777" w:rsidR="00C33689" w:rsidRDefault="00C33689" w:rsidP="00C33689">
      <w:pPr>
        <w:pStyle w:val="NoSpacing"/>
        <w:jc w:val="both"/>
        <w:rPr>
          <w:rFonts w:ascii="Times New Roman" w:hAnsi="Times New Roman" w:cs="Times New Roman"/>
          <w:sz w:val="20"/>
          <w:szCs w:val="20"/>
        </w:rPr>
      </w:pPr>
      <w:r w:rsidRPr="00C33689">
        <w:rPr>
          <w:rFonts w:ascii="Times New Roman" w:hAnsi="Times New Roman" w:cs="Times New Roman"/>
          <w:sz w:val="20"/>
          <w:szCs w:val="20"/>
        </w:rPr>
        <w:t xml:space="preserve">The remainder of this paper is organized as follows. Section 2 provides a detailed analysis of related work, further elaborating on the limitations of current fusion methods. Section 3 formally outlines the </w:t>
      </w:r>
      <w:r w:rsidR="00D13E56">
        <w:rPr>
          <w:rFonts w:ascii="Times New Roman" w:hAnsi="Times New Roman" w:cs="Times New Roman"/>
          <w:sz w:val="20"/>
          <w:szCs w:val="20"/>
        </w:rPr>
        <w:t>materials and method</w:t>
      </w:r>
      <w:r w:rsidRPr="00C33689">
        <w:rPr>
          <w:rFonts w:ascii="Times New Roman" w:hAnsi="Times New Roman" w:cs="Times New Roman"/>
          <w:sz w:val="20"/>
          <w:szCs w:val="20"/>
        </w:rPr>
        <w:t xml:space="preserve"> </w:t>
      </w:r>
      <w:r w:rsidRPr="00C33689">
        <w:rPr>
          <w:rFonts w:ascii="Times New Roman" w:hAnsi="Times New Roman" w:cs="Times New Roman"/>
          <w:sz w:val="20"/>
          <w:szCs w:val="20"/>
        </w:rPr>
        <w:lastRenderedPageBreak/>
        <w:t xml:space="preserve">describes the proposed Bayesian dynamic fusion framework. Section 4 details the </w:t>
      </w:r>
      <w:r w:rsidR="00E23020" w:rsidRPr="00E23020">
        <w:rPr>
          <w:rFonts w:ascii="Times New Roman" w:hAnsi="Times New Roman" w:cs="Times New Roman"/>
          <w:sz w:val="20"/>
          <w:szCs w:val="20"/>
        </w:rPr>
        <w:t>comprehensive</w:t>
      </w:r>
      <w:r w:rsidR="00E23020">
        <w:rPr>
          <w:rFonts w:ascii="Times New Roman" w:hAnsi="Times New Roman" w:cs="Times New Roman"/>
          <w:sz w:val="20"/>
          <w:szCs w:val="20"/>
        </w:rPr>
        <w:t xml:space="preserve"> </w:t>
      </w:r>
      <w:r w:rsidR="00D13E56">
        <w:rPr>
          <w:rFonts w:ascii="Times New Roman" w:hAnsi="Times New Roman" w:cs="Times New Roman"/>
          <w:sz w:val="20"/>
          <w:szCs w:val="20"/>
        </w:rPr>
        <w:t xml:space="preserve">discussion. </w:t>
      </w:r>
      <w:r w:rsidRPr="00C33689">
        <w:rPr>
          <w:rFonts w:ascii="Times New Roman" w:hAnsi="Times New Roman" w:cs="Times New Roman"/>
          <w:sz w:val="20"/>
          <w:szCs w:val="20"/>
        </w:rPr>
        <w:t xml:space="preserve">Section 5 </w:t>
      </w:r>
      <w:r w:rsidR="00D13E56">
        <w:rPr>
          <w:rFonts w:ascii="Times New Roman" w:hAnsi="Times New Roman" w:cs="Times New Roman"/>
          <w:sz w:val="20"/>
          <w:szCs w:val="20"/>
        </w:rPr>
        <w:t>concludes the paper and suggests directions for future research.</w:t>
      </w:r>
    </w:p>
    <w:p w14:paraId="02D3015E" w14:textId="77777777" w:rsidR="00C240FA" w:rsidRDefault="00C240FA" w:rsidP="00C33689">
      <w:pPr>
        <w:pStyle w:val="NoSpacing"/>
        <w:jc w:val="both"/>
        <w:rPr>
          <w:rFonts w:ascii="Times New Roman" w:hAnsi="Times New Roman" w:cs="Times New Roman"/>
          <w:sz w:val="20"/>
          <w:szCs w:val="20"/>
        </w:rPr>
      </w:pPr>
    </w:p>
    <w:p w14:paraId="73E82905" w14:textId="77777777" w:rsidR="00C240FA" w:rsidRDefault="00C240FA" w:rsidP="00C240FA">
      <w:pPr>
        <w:pStyle w:val="NoSpacing"/>
        <w:numPr>
          <w:ilvl w:val="0"/>
          <w:numId w:val="3"/>
        </w:numPr>
        <w:jc w:val="both"/>
        <w:rPr>
          <w:rFonts w:ascii="Times New Roman" w:hAnsi="Times New Roman" w:cs="Times New Roman"/>
          <w:b/>
          <w:bCs/>
        </w:rPr>
      </w:pPr>
      <w:r>
        <w:rPr>
          <w:rFonts w:ascii="Times New Roman" w:hAnsi="Times New Roman" w:cs="Times New Roman"/>
          <w:b/>
          <w:bCs/>
        </w:rPr>
        <w:t>Literature Review</w:t>
      </w:r>
    </w:p>
    <w:p w14:paraId="2C7A95AA" w14:textId="77777777"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 xml:space="preserve">The evolution of financial forecasting is a narrative of escalating data complexity and methodological sophistication. This review systematically </w:t>
      </w:r>
      <w:proofErr w:type="spellStart"/>
      <w:r w:rsidRPr="00C240FA">
        <w:rPr>
          <w:rFonts w:ascii="Times New Roman" w:hAnsi="Times New Roman" w:cs="Times New Roman"/>
          <w:sz w:val="20"/>
          <w:szCs w:val="20"/>
        </w:rPr>
        <w:t>analyzes</w:t>
      </w:r>
      <w:proofErr w:type="spellEnd"/>
      <w:r w:rsidRPr="00C240FA">
        <w:rPr>
          <w:rFonts w:ascii="Times New Roman" w:hAnsi="Times New Roman" w:cs="Times New Roman"/>
          <w:sz w:val="20"/>
          <w:szCs w:val="20"/>
        </w:rPr>
        <w:t xml:space="preserve"> the trajectory from single-source models to multi-modal fusion, critically examining the data types, </w:t>
      </w:r>
      <w:proofErr w:type="spellStart"/>
      <w:r w:rsidRPr="00C240FA">
        <w:rPr>
          <w:rFonts w:ascii="Times New Roman" w:hAnsi="Times New Roman" w:cs="Times New Roman"/>
          <w:sz w:val="20"/>
          <w:szCs w:val="20"/>
        </w:rPr>
        <w:t>modeling</w:t>
      </w:r>
      <w:proofErr w:type="spellEnd"/>
      <w:r w:rsidRPr="00C240FA">
        <w:rPr>
          <w:rFonts w:ascii="Times New Roman" w:hAnsi="Times New Roman" w:cs="Times New Roman"/>
          <w:sz w:val="20"/>
          <w:szCs w:val="20"/>
        </w:rPr>
        <w:t xml:space="preserve"> techniques, and—most importantly—the fusion strategies employed in the contemporary literature. The central thesis of this analysis is that while the field has successfully progressed to multi-source integration, it remains entrenched in static fusion paradigms, creating a critical gap for dynamic, uncertainty-aware methodologies.</w:t>
      </w:r>
    </w:p>
    <w:p w14:paraId="75CC5413" w14:textId="77777777" w:rsidR="00C240FA" w:rsidRPr="00C240FA" w:rsidRDefault="00C240FA" w:rsidP="00C240FA">
      <w:pPr>
        <w:pStyle w:val="NoSpacing"/>
        <w:jc w:val="both"/>
        <w:rPr>
          <w:rFonts w:ascii="Times New Roman" w:hAnsi="Times New Roman" w:cs="Times New Roman"/>
          <w:sz w:val="20"/>
          <w:szCs w:val="20"/>
        </w:rPr>
      </w:pPr>
    </w:p>
    <w:p w14:paraId="3AC25B62" w14:textId="77777777" w:rsidR="00C240FA" w:rsidRPr="00666B02" w:rsidRDefault="00C240FA" w:rsidP="00C240FA">
      <w:pPr>
        <w:pStyle w:val="NoSpacing"/>
        <w:jc w:val="both"/>
        <w:rPr>
          <w:rFonts w:ascii="Times New Roman" w:hAnsi="Times New Roman" w:cs="Times New Roman"/>
          <w:b/>
          <w:bCs/>
          <w:sz w:val="20"/>
          <w:szCs w:val="20"/>
        </w:rPr>
      </w:pPr>
      <w:r w:rsidRPr="00666B02">
        <w:rPr>
          <w:rFonts w:ascii="Times New Roman" w:hAnsi="Times New Roman" w:cs="Times New Roman"/>
          <w:b/>
          <w:bCs/>
          <w:sz w:val="20"/>
          <w:szCs w:val="20"/>
        </w:rPr>
        <w:t>2.1 The Expansion of Financial Data Types</w:t>
      </w:r>
    </w:p>
    <w:p w14:paraId="4D388974" w14:textId="77777777"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The foundation of quantitative finance was built upon structured, time-series data. The Open-High-Low-Close-Volume (OHLCV) data, along with a plethora of technical indicators (e.g., Moving Averages, RSI, MACD), formed the basis for early models. These approaches ranged from statistical time-series models like ARIMA to traditional machine learning algorithms such as Support Vector Regression (SVR) and sliding-window optimized regression [14], [17], [34]. While foundational, these models are inherently limited by their inability to incorporate the unstructured information that drives market sentiment [32].</w:t>
      </w:r>
    </w:p>
    <w:p w14:paraId="0CFE1297" w14:textId="77777777" w:rsidR="00C240FA" w:rsidRPr="00C240FA" w:rsidRDefault="00C240FA" w:rsidP="00C240FA">
      <w:pPr>
        <w:pStyle w:val="NoSpacing"/>
        <w:jc w:val="both"/>
        <w:rPr>
          <w:rFonts w:ascii="Times New Roman" w:hAnsi="Times New Roman" w:cs="Times New Roman"/>
          <w:sz w:val="20"/>
          <w:szCs w:val="20"/>
        </w:rPr>
      </w:pPr>
    </w:p>
    <w:p w14:paraId="0A1BF078" w14:textId="77777777"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 xml:space="preserve">This limitation </w:t>
      </w:r>
      <w:proofErr w:type="spellStart"/>
      <w:r w:rsidRPr="00C240FA">
        <w:rPr>
          <w:rFonts w:ascii="Times New Roman" w:hAnsi="Times New Roman" w:cs="Times New Roman"/>
          <w:sz w:val="20"/>
          <w:szCs w:val="20"/>
        </w:rPr>
        <w:t>catalyzed</w:t>
      </w:r>
      <w:proofErr w:type="spellEnd"/>
      <w:r w:rsidRPr="00C240FA">
        <w:rPr>
          <w:rFonts w:ascii="Times New Roman" w:hAnsi="Times New Roman" w:cs="Times New Roman"/>
          <w:sz w:val="20"/>
          <w:szCs w:val="20"/>
        </w:rPr>
        <w:t xml:space="preserve"> the integration of unstructured textual data. Initial efforts focused on sentiment analysis of news headlines and social media posts using lexicon-based methods and traditional NLP [7], [10]. The field has since been revolutionized by deep learning. Recurrent Neural Networks (RNNs), particularly Long Short-Term Memory (LSTM) and Gated Recurrent Unit (GRU) networks, became the standard for capturing temporal dependencies in both price series and textual data [7], [11], [21]. More recently, the advent of Large Language Models (LLMs) has marked a paradigm shift. Studies like those by Liu et al. [23] and </w:t>
      </w:r>
      <w:proofErr w:type="spellStart"/>
      <w:r w:rsidRPr="00C240FA">
        <w:rPr>
          <w:rFonts w:ascii="Times New Roman" w:hAnsi="Times New Roman" w:cs="Times New Roman"/>
          <w:sz w:val="20"/>
          <w:szCs w:val="20"/>
        </w:rPr>
        <w:t>Ónozó</w:t>
      </w:r>
      <w:proofErr w:type="spellEnd"/>
      <w:r w:rsidRPr="00C240FA">
        <w:rPr>
          <w:rFonts w:ascii="Times New Roman" w:hAnsi="Times New Roman" w:cs="Times New Roman"/>
          <w:sz w:val="20"/>
          <w:szCs w:val="20"/>
        </w:rPr>
        <w:t xml:space="preserve"> et al. [25] demonstrate the superior contextual understanding of fine-tuned LLMs like </w:t>
      </w:r>
      <w:proofErr w:type="spellStart"/>
      <w:r w:rsidRPr="00C240FA">
        <w:rPr>
          <w:rFonts w:ascii="Times New Roman" w:hAnsi="Times New Roman" w:cs="Times New Roman"/>
          <w:sz w:val="20"/>
          <w:szCs w:val="20"/>
        </w:rPr>
        <w:t>FinBERT</w:t>
      </w:r>
      <w:proofErr w:type="spellEnd"/>
      <w:r w:rsidRPr="00C240FA">
        <w:rPr>
          <w:rFonts w:ascii="Times New Roman" w:hAnsi="Times New Roman" w:cs="Times New Roman"/>
          <w:sz w:val="20"/>
          <w:szCs w:val="20"/>
        </w:rPr>
        <w:t xml:space="preserve"> and </w:t>
      </w:r>
      <w:proofErr w:type="spellStart"/>
      <w:r w:rsidRPr="00C240FA">
        <w:rPr>
          <w:rFonts w:ascii="Times New Roman" w:hAnsi="Times New Roman" w:cs="Times New Roman"/>
          <w:sz w:val="20"/>
          <w:szCs w:val="20"/>
        </w:rPr>
        <w:t>BloombergGPT</w:t>
      </w:r>
      <w:proofErr w:type="spellEnd"/>
      <w:r w:rsidRPr="00C240FA">
        <w:rPr>
          <w:rFonts w:ascii="Times New Roman" w:hAnsi="Times New Roman" w:cs="Times New Roman"/>
          <w:sz w:val="20"/>
          <w:szCs w:val="20"/>
        </w:rPr>
        <w:t xml:space="preserve"> for financial sentiment analysis, capable of grasping nuanced concepts such as "hawkish tone" or "earnings beat." Jung and Jang [12] further enhanced this by proposing targeted numerical masking to preserve critical quantitative context, a significant improvement over generic text processing.</w:t>
      </w:r>
    </w:p>
    <w:p w14:paraId="6CE4D540" w14:textId="77777777" w:rsidR="00C240FA" w:rsidRPr="00C240FA" w:rsidRDefault="00C240FA" w:rsidP="00C240FA">
      <w:pPr>
        <w:pStyle w:val="NoSpacing"/>
        <w:jc w:val="both"/>
        <w:rPr>
          <w:rFonts w:ascii="Times New Roman" w:hAnsi="Times New Roman" w:cs="Times New Roman"/>
          <w:sz w:val="20"/>
          <w:szCs w:val="20"/>
        </w:rPr>
      </w:pPr>
    </w:p>
    <w:p w14:paraId="21D5F828" w14:textId="77777777" w:rsidR="00C240FA" w:rsidRP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 xml:space="preserve">Concurrently, the definition of relevant data has expanded to include alternative data sources. These include web traffic and social engagement metrics [4], [30], satellite imagery for economic activity analysis, and network data representing supply chains or ownership structures [29]. </w:t>
      </w:r>
      <w:proofErr w:type="spellStart"/>
      <w:r w:rsidRPr="00C240FA">
        <w:rPr>
          <w:rFonts w:ascii="Times New Roman" w:hAnsi="Times New Roman" w:cs="Times New Roman"/>
          <w:sz w:val="20"/>
          <w:szCs w:val="20"/>
        </w:rPr>
        <w:t>Khuwaja</w:t>
      </w:r>
      <w:proofErr w:type="spellEnd"/>
      <w:r w:rsidRPr="00C240FA">
        <w:rPr>
          <w:rFonts w:ascii="Times New Roman" w:hAnsi="Times New Roman" w:cs="Times New Roman"/>
          <w:sz w:val="20"/>
          <w:szCs w:val="20"/>
        </w:rPr>
        <w:t xml:space="preserve"> et al. [4] utilized adversarial learning networks to handle the heterogeneity of such data, while Lu et al. [22] </w:t>
      </w:r>
      <w:proofErr w:type="spellStart"/>
      <w:r w:rsidRPr="00C240FA">
        <w:rPr>
          <w:rFonts w:ascii="Times New Roman" w:hAnsi="Times New Roman" w:cs="Times New Roman"/>
          <w:sz w:val="20"/>
          <w:szCs w:val="20"/>
        </w:rPr>
        <w:t>modeled</w:t>
      </w:r>
      <w:proofErr w:type="spellEnd"/>
      <w:r w:rsidRPr="00C240FA">
        <w:rPr>
          <w:rFonts w:ascii="Times New Roman" w:hAnsi="Times New Roman" w:cs="Times New Roman"/>
          <w:sz w:val="20"/>
          <w:szCs w:val="20"/>
        </w:rPr>
        <w:t xml:space="preserve"> bidding </w:t>
      </w:r>
      <w:proofErr w:type="spellStart"/>
      <w:r w:rsidRPr="00C240FA">
        <w:rPr>
          <w:rFonts w:ascii="Times New Roman" w:hAnsi="Times New Roman" w:cs="Times New Roman"/>
          <w:sz w:val="20"/>
          <w:szCs w:val="20"/>
        </w:rPr>
        <w:t>behavior</w:t>
      </w:r>
      <w:proofErr w:type="spellEnd"/>
      <w:r w:rsidRPr="00C240FA">
        <w:rPr>
          <w:rFonts w:ascii="Times New Roman" w:hAnsi="Times New Roman" w:cs="Times New Roman"/>
          <w:sz w:val="20"/>
          <w:szCs w:val="20"/>
        </w:rPr>
        <w:t xml:space="preserve"> as an alternative data source for electricity price prediction. The challenge with these sources shifts from </w:t>
      </w:r>
      <w:proofErr w:type="spellStart"/>
      <w:r w:rsidRPr="00C240FA">
        <w:rPr>
          <w:rFonts w:ascii="Times New Roman" w:hAnsi="Times New Roman" w:cs="Times New Roman"/>
          <w:sz w:val="20"/>
          <w:szCs w:val="20"/>
        </w:rPr>
        <w:t>modeling</w:t>
      </w:r>
      <w:proofErr w:type="spellEnd"/>
      <w:r w:rsidRPr="00C240FA">
        <w:rPr>
          <w:rFonts w:ascii="Times New Roman" w:hAnsi="Times New Roman" w:cs="Times New Roman"/>
          <w:sz w:val="20"/>
          <w:szCs w:val="20"/>
        </w:rPr>
        <w:t xml:space="preserve"> to feature extraction, often requiring specialized techniques like CNNs for imagery or Graph Neural Networks (GNNs) for relational data.</w:t>
      </w:r>
    </w:p>
    <w:p w14:paraId="289DCC68" w14:textId="77777777" w:rsidR="00C240FA" w:rsidRPr="00C240FA" w:rsidRDefault="00C240FA" w:rsidP="00C240FA">
      <w:pPr>
        <w:pStyle w:val="NoSpacing"/>
        <w:jc w:val="both"/>
        <w:rPr>
          <w:rFonts w:ascii="Times New Roman" w:hAnsi="Times New Roman" w:cs="Times New Roman"/>
          <w:sz w:val="20"/>
          <w:szCs w:val="20"/>
        </w:rPr>
      </w:pPr>
    </w:p>
    <w:p w14:paraId="48B77C43" w14:textId="77777777" w:rsidR="00C240FA" w:rsidRDefault="00C240FA" w:rsidP="00C240FA">
      <w:pPr>
        <w:pStyle w:val="NoSpacing"/>
        <w:jc w:val="both"/>
        <w:rPr>
          <w:rFonts w:ascii="Times New Roman" w:hAnsi="Times New Roman" w:cs="Times New Roman"/>
          <w:sz w:val="20"/>
          <w:szCs w:val="20"/>
        </w:rPr>
      </w:pPr>
      <w:r w:rsidRPr="00C240FA">
        <w:rPr>
          <w:rFonts w:ascii="Times New Roman" w:hAnsi="Times New Roman" w:cs="Times New Roman"/>
          <w:sz w:val="20"/>
          <w:szCs w:val="20"/>
        </w:rPr>
        <w:t>Table 1 illustrates the distribution of primary data types used in the reviewed literature, highlighting the clear trend towards multi-source approaches, with nearly half of the studies incorporating textual or sentiment data.</w:t>
      </w:r>
    </w:p>
    <w:p w14:paraId="4226DEF2" w14:textId="77777777" w:rsidR="00666B02" w:rsidRDefault="00666B02" w:rsidP="00666B02">
      <w:pPr>
        <w:pStyle w:val="NoSpacing"/>
        <w:jc w:val="center"/>
        <w:rPr>
          <w:rFonts w:ascii="Times New Roman" w:hAnsi="Times New Roman" w:cs="Times New Roman"/>
          <w:sz w:val="20"/>
          <w:szCs w:val="20"/>
        </w:rPr>
      </w:pPr>
    </w:p>
    <w:p w14:paraId="6843C420" w14:textId="77777777" w:rsid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T</w:t>
      </w:r>
      <w:r>
        <w:rPr>
          <w:rFonts w:ascii="Times New Roman" w:hAnsi="Times New Roman" w:cs="Times New Roman"/>
          <w:sz w:val="20"/>
          <w:szCs w:val="20"/>
        </w:rPr>
        <w:t>able</w:t>
      </w:r>
      <w:r w:rsidRPr="00666B02">
        <w:rPr>
          <w:rFonts w:ascii="Times New Roman" w:hAnsi="Times New Roman" w:cs="Times New Roman"/>
          <w:sz w:val="20"/>
          <w:szCs w:val="20"/>
        </w:rPr>
        <w:t xml:space="preserve"> 1. </w:t>
      </w:r>
      <w:r w:rsidRPr="00666B02">
        <w:rPr>
          <w:rFonts w:ascii="Times New Roman" w:hAnsi="Times New Roman" w:cs="Times New Roman"/>
          <w:smallCaps/>
          <w:sz w:val="20"/>
          <w:szCs w:val="20"/>
        </w:rPr>
        <w:t>DISTRIBUTION OF DATA TYPES IN REVIEWED LITERATURE</w:t>
      </w:r>
      <w:r w:rsidRPr="00666B02">
        <w:rPr>
          <w:rFonts w:ascii="Times New Roman" w:hAnsi="Times New Roman" w:cs="Times New Roman"/>
          <w:sz w:val="20"/>
          <w:szCs w:val="20"/>
        </w:rPr>
        <w:t xml:space="preserve"> (N=36)</w:t>
      </w:r>
    </w:p>
    <w:tbl>
      <w:tblPr>
        <w:tblStyle w:val="TableGrid"/>
        <w:tblW w:w="0" w:type="auto"/>
        <w:jc w:val="center"/>
        <w:tblLook w:val="04A0" w:firstRow="1" w:lastRow="0" w:firstColumn="1" w:lastColumn="0" w:noHBand="0" w:noVBand="1"/>
      </w:tblPr>
      <w:tblGrid>
        <w:gridCol w:w="2830"/>
        <w:gridCol w:w="851"/>
        <w:gridCol w:w="1276"/>
        <w:gridCol w:w="4059"/>
      </w:tblGrid>
      <w:tr w:rsidR="00666B02" w:rsidRPr="00666B02" w14:paraId="20073937" w14:textId="77777777" w:rsidTr="00666B02">
        <w:trPr>
          <w:jc w:val="center"/>
        </w:trPr>
        <w:tc>
          <w:tcPr>
            <w:tcW w:w="2830" w:type="dxa"/>
            <w:vAlign w:val="center"/>
          </w:tcPr>
          <w:p w14:paraId="0AC7F424"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Primary Data Category</w:t>
            </w:r>
          </w:p>
        </w:tc>
        <w:tc>
          <w:tcPr>
            <w:tcW w:w="851" w:type="dxa"/>
            <w:vAlign w:val="center"/>
          </w:tcPr>
          <w:p w14:paraId="33EDCDDD"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Count</w:t>
            </w:r>
          </w:p>
        </w:tc>
        <w:tc>
          <w:tcPr>
            <w:tcW w:w="1276" w:type="dxa"/>
            <w:vAlign w:val="center"/>
          </w:tcPr>
          <w:p w14:paraId="44FF6762"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Percentage</w:t>
            </w:r>
          </w:p>
        </w:tc>
        <w:tc>
          <w:tcPr>
            <w:tcW w:w="4059" w:type="dxa"/>
            <w:vAlign w:val="center"/>
          </w:tcPr>
          <w:p w14:paraId="152DFB1D"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color w:val="0F1115"/>
                <w:sz w:val="20"/>
                <w:szCs w:val="20"/>
              </w:rPr>
              <w:t>Representative Studies</w:t>
            </w:r>
          </w:p>
        </w:tc>
      </w:tr>
      <w:tr w:rsidR="00666B02" w:rsidRPr="00666B02" w14:paraId="68D78506" w14:textId="77777777" w:rsidTr="00666B02">
        <w:trPr>
          <w:jc w:val="center"/>
        </w:trPr>
        <w:tc>
          <w:tcPr>
            <w:tcW w:w="2830" w:type="dxa"/>
            <w:vAlign w:val="center"/>
          </w:tcPr>
          <w:p w14:paraId="502AB6DD" w14:textId="77777777"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Technical/OHLCV Only</w:t>
            </w:r>
          </w:p>
        </w:tc>
        <w:tc>
          <w:tcPr>
            <w:tcW w:w="851" w:type="dxa"/>
            <w:vAlign w:val="center"/>
          </w:tcPr>
          <w:p w14:paraId="11B62BDB"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9</w:t>
            </w:r>
          </w:p>
        </w:tc>
        <w:tc>
          <w:tcPr>
            <w:tcW w:w="1276" w:type="dxa"/>
            <w:vAlign w:val="center"/>
          </w:tcPr>
          <w:p w14:paraId="14BD35CC"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25.0%</w:t>
            </w:r>
          </w:p>
        </w:tc>
        <w:tc>
          <w:tcPr>
            <w:tcW w:w="4059" w:type="dxa"/>
            <w:vAlign w:val="center"/>
          </w:tcPr>
          <w:p w14:paraId="39C5804B" w14:textId="77777777"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[14], [17], [18], [27], [28], [32], [33], [34], [36]</w:t>
            </w:r>
          </w:p>
        </w:tc>
      </w:tr>
      <w:tr w:rsidR="00666B02" w:rsidRPr="00666B02" w14:paraId="5E95FFEB" w14:textId="77777777" w:rsidTr="00666B02">
        <w:trPr>
          <w:jc w:val="center"/>
        </w:trPr>
        <w:tc>
          <w:tcPr>
            <w:tcW w:w="2830" w:type="dxa"/>
            <w:vAlign w:val="center"/>
          </w:tcPr>
          <w:p w14:paraId="2F1737D5" w14:textId="77777777"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Textual/Sentiment + Technical</w:t>
            </w:r>
          </w:p>
        </w:tc>
        <w:tc>
          <w:tcPr>
            <w:tcW w:w="851" w:type="dxa"/>
            <w:vAlign w:val="center"/>
          </w:tcPr>
          <w:p w14:paraId="28C5BB80"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16</w:t>
            </w:r>
          </w:p>
        </w:tc>
        <w:tc>
          <w:tcPr>
            <w:tcW w:w="1276" w:type="dxa"/>
            <w:vAlign w:val="center"/>
          </w:tcPr>
          <w:p w14:paraId="44B6DE2A"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44.4%</w:t>
            </w:r>
          </w:p>
        </w:tc>
        <w:tc>
          <w:tcPr>
            <w:tcW w:w="4059" w:type="dxa"/>
            <w:vAlign w:val="center"/>
          </w:tcPr>
          <w:p w14:paraId="3675C1BB" w14:textId="77777777"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[2], [3], [5], [7], [10], [11], [12], [15], [21], [23], [24], [25], [26], [30], [31], [35]</w:t>
            </w:r>
          </w:p>
        </w:tc>
      </w:tr>
      <w:tr w:rsidR="00666B02" w:rsidRPr="00666B02" w14:paraId="09335A62" w14:textId="77777777" w:rsidTr="00666B02">
        <w:trPr>
          <w:jc w:val="center"/>
        </w:trPr>
        <w:tc>
          <w:tcPr>
            <w:tcW w:w="2830" w:type="dxa"/>
            <w:vAlign w:val="center"/>
          </w:tcPr>
          <w:p w14:paraId="3B87C42C" w14:textId="77777777"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Alternative Data Sources</w:t>
            </w:r>
          </w:p>
        </w:tc>
        <w:tc>
          <w:tcPr>
            <w:tcW w:w="851" w:type="dxa"/>
            <w:vAlign w:val="center"/>
          </w:tcPr>
          <w:p w14:paraId="627D91BE"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4</w:t>
            </w:r>
          </w:p>
        </w:tc>
        <w:tc>
          <w:tcPr>
            <w:tcW w:w="1276" w:type="dxa"/>
            <w:vAlign w:val="center"/>
          </w:tcPr>
          <w:p w14:paraId="064D03FD"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11.1%</w:t>
            </w:r>
          </w:p>
        </w:tc>
        <w:tc>
          <w:tcPr>
            <w:tcW w:w="4059" w:type="dxa"/>
            <w:vAlign w:val="center"/>
          </w:tcPr>
          <w:p w14:paraId="539EABD8" w14:textId="77777777"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[4], [13], [22], [29]</w:t>
            </w:r>
          </w:p>
        </w:tc>
      </w:tr>
      <w:tr w:rsidR="00666B02" w:rsidRPr="00666B02" w14:paraId="1514844F" w14:textId="77777777" w:rsidTr="00666B02">
        <w:trPr>
          <w:jc w:val="center"/>
        </w:trPr>
        <w:tc>
          <w:tcPr>
            <w:tcW w:w="2830" w:type="dxa"/>
            <w:vAlign w:val="center"/>
          </w:tcPr>
          <w:p w14:paraId="121F1E12" w14:textId="77777777" w:rsidR="00666B02" w:rsidRPr="00666B02" w:rsidRDefault="00666B02" w:rsidP="00666B02">
            <w:pPr>
              <w:pStyle w:val="NoSpacing"/>
              <w:rPr>
                <w:rFonts w:ascii="Times New Roman" w:hAnsi="Times New Roman" w:cs="Times New Roman"/>
                <w:b/>
                <w:bCs/>
                <w:sz w:val="20"/>
                <w:szCs w:val="20"/>
              </w:rPr>
            </w:pPr>
            <w:r w:rsidRPr="00666B02">
              <w:rPr>
                <w:rFonts w:ascii="Times New Roman" w:hAnsi="Times New Roman" w:cs="Times New Roman"/>
                <w:b/>
                <w:bCs/>
                <w:sz w:val="20"/>
                <w:szCs w:val="20"/>
              </w:rPr>
              <w:t>Other/Review/Multi-Agent</w:t>
            </w:r>
          </w:p>
        </w:tc>
        <w:tc>
          <w:tcPr>
            <w:tcW w:w="851" w:type="dxa"/>
            <w:vAlign w:val="center"/>
          </w:tcPr>
          <w:p w14:paraId="4ED1626B"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7</w:t>
            </w:r>
          </w:p>
        </w:tc>
        <w:tc>
          <w:tcPr>
            <w:tcW w:w="1276" w:type="dxa"/>
            <w:vAlign w:val="center"/>
          </w:tcPr>
          <w:p w14:paraId="51B98075" w14:textId="77777777" w:rsidR="00666B02" w:rsidRP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19.4%</w:t>
            </w:r>
          </w:p>
        </w:tc>
        <w:tc>
          <w:tcPr>
            <w:tcW w:w="4059" w:type="dxa"/>
            <w:vAlign w:val="center"/>
          </w:tcPr>
          <w:p w14:paraId="5481DD52" w14:textId="77777777"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[1], [6], [8], [9], [16], [19], [20]</w:t>
            </w:r>
          </w:p>
        </w:tc>
      </w:tr>
    </w:tbl>
    <w:p w14:paraId="4F24854B" w14:textId="77777777" w:rsidR="00666B02" w:rsidRDefault="00666B02" w:rsidP="00C240FA">
      <w:pPr>
        <w:pStyle w:val="NoSpacing"/>
        <w:jc w:val="both"/>
        <w:rPr>
          <w:rFonts w:ascii="Times New Roman" w:hAnsi="Times New Roman" w:cs="Times New Roman"/>
          <w:sz w:val="20"/>
          <w:szCs w:val="20"/>
        </w:rPr>
      </w:pPr>
    </w:p>
    <w:p w14:paraId="471A69BC" w14:textId="77777777" w:rsidR="00666B02" w:rsidRPr="00666B02" w:rsidRDefault="00666B02" w:rsidP="00666B02">
      <w:pPr>
        <w:pStyle w:val="NoSpacing"/>
        <w:jc w:val="both"/>
        <w:rPr>
          <w:rFonts w:ascii="Times New Roman" w:hAnsi="Times New Roman" w:cs="Times New Roman"/>
          <w:b/>
          <w:bCs/>
          <w:sz w:val="20"/>
          <w:szCs w:val="20"/>
        </w:rPr>
      </w:pPr>
      <w:r w:rsidRPr="00666B02">
        <w:rPr>
          <w:rFonts w:ascii="Times New Roman" w:hAnsi="Times New Roman" w:cs="Times New Roman"/>
          <w:b/>
          <w:bCs/>
          <w:sz w:val="20"/>
          <w:szCs w:val="20"/>
        </w:rPr>
        <w:t>2.2 The State of Multi-Source Data Fusion</w:t>
      </w:r>
    </w:p>
    <w:p w14:paraId="5B5722D1"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The consensus that multiple data sources enhance predictive performance is well-established, as confirmed by systematic reviews [8], [32]. The methodologies for integrating these sources, however, vary significantly and can be categorized into three dominant fusion strategies, each with inherent limitations.</w:t>
      </w:r>
    </w:p>
    <w:p w14:paraId="38DF9DBE" w14:textId="77777777" w:rsidR="00666B02" w:rsidRPr="00666B02" w:rsidRDefault="00666B02" w:rsidP="00666B02">
      <w:pPr>
        <w:pStyle w:val="NoSpacing"/>
        <w:jc w:val="both"/>
        <w:rPr>
          <w:rFonts w:ascii="Times New Roman" w:hAnsi="Times New Roman" w:cs="Times New Roman"/>
          <w:sz w:val="20"/>
          <w:szCs w:val="20"/>
        </w:rPr>
      </w:pPr>
    </w:p>
    <w:p w14:paraId="75B3587D"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 xml:space="preserve">Early Fusion (Feature-Level): This approach involves concatenating raw or engineered features from different data sources into a single input vector, which is then fed into a monolithic model. For example, Moodi et al. [15] concatenate technical indicators with sentiment scores before processing them through a hybrid Convolutional Neural Network (CNN) and LSTM model. Similarly, Mu et al. [3] combine investor sentiment features with market data for input into an optimized deep learning network. The principal weakness of early fusion is its static nature; the model must learn the complex, time-varying interactions between features from different domains </w:t>
      </w:r>
      <w:r w:rsidRPr="00666B02">
        <w:rPr>
          <w:rFonts w:ascii="Times New Roman" w:hAnsi="Times New Roman" w:cs="Times New Roman"/>
          <w:sz w:val="20"/>
          <w:szCs w:val="20"/>
        </w:rPr>
        <w:lastRenderedPageBreak/>
        <w:t>within its fixed architecture, which often leads to the dominance of one data modality if not carefully normalized [33].</w:t>
      </w:r>
    </w:p>
    <w:p w14:paraId="7C56A4C6" w14:textId="77777777" w:rsidR="00666B02" w:rsidRPr="00666B02" w:rsidRDefault="00666B02" w:rsidP="00666B02">
      <w:pPr>
        <w:pStyle w:val="NoSpacing"/>
        <w:jc w:val="both"/>
        <w:rPr>
          <w:rFonts w:ascii="Times New Roman" w:hAnsi="Times New Roman" w:cs="Times New Roman"/>
          <w:sz w:val="20"/>
          <w:szCs w:val="20"/>
        </w:rPr>
      </w:pPr>
    </w:p>
    <w:p w14:paraId="22FC3964"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 xml:space="preserve">Late Fusion (Decision-Level): This strategy involves training separate, source-specific models and then combining their final predictions. This can be done through averaging, voting, or using a meta-learner. </w:t>
      </w:r>
      <w:proofErr w:type="spellStart"/>
      <w:r w:rsidRPr="00666B02">
        <w:rPr>
          <w:rFonts w:ascii="Times New Roman" w:hAnsi="Times New Roman" w:cs="Times New Roman"/>
          <w:sz w:val="20"/>
          <w:szCs w:val="20"/>
        </w:rPr>
        <w:t>Anbaee</w:t>
      </w:r>
      <w:proofErr w:type="spellEnd"/>
      <w:r w:rsidRPr="00666B02">
        <w:rPr>
          <w:rFonts w:ascii="Times New Roman" w:hAnsi="Times New Roman" w:cs="Times New Roman"/>
          <w:sz w:val="20"/>
          <w:szCs w:val="20"/>
        </w:rPr>
        <w:t xml:space="preserve"> </w:t>
      </w:r>
      <w:proofErr w:type="spellStart"/>
      <w:r w:rsidRPr="00666B02">
        <w:rPr>
          <w:rFonts w:ascii="Times New Roman" w:hAnsi="Times New Roman" w:cs="Times New Roman"/>
          <w:sz w:val="20"/>
          <w:szCs w:val="20"/>
        </w:rPr>
        <w:t>Farimani</w:t>
      </w:r>
      <w:proofErr w:type="spellEnd"/>
      <w:r w:rsidRPr="00666B02">
        <w:rPr>
          <w:rFonts w:ascii="Times New Roman" w:hAnsi="Times New Roman" w:cs="Times New Roman"/>
          <w:sz w:val="20"/>
          <w:szCs w:val="20"/>
        </w:rPr>
        <w:t xml:space="preserve"> et al. [5] propose an "adaptive" multimodal model that essentially uses a late fusion mechanism, combining predictions from different data streams. Vargas et al. [7] use an LSTM for price data and a separate sentiment analysis model, fusing their outputs. While late fusion offers modularity, the fusion weights are typically static and pre-determined (e.g., equal weighting), failing to reflect the dynamic reliability of each source's predictions over time.</w:t>
      </w:r>
    </w:p>
    <w:p w14:paraId="413275BD" w14:textId="77777777" w:rsidR="00666B02" w:rsidRPr="00666B02" w:rsidRDefault="00666B02" w:rsidP="00666B02">
      <w:pPr>
        <w:pStyle w:val="NoSpacing"/>
        <w:jc w:val="both"/>
        <w:rPr>
          <w:rFonts w:ascii="Times New Roman" w:hAnsi="Times New Roman" w:cs="Times New Roman"/>
          <w:sz w:val="20"/>
          <w:szCs w:val="20"/>
        </w:rPr>
      </w:pPr>
    </w:p>
    <w:p w14:paraId="47DBA748"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Hybrid Fusion (Model-Level): More recent studies have employed advanced neural architectures to create a more integrated fusion. Liu and Wang [2] use a numerical-based attention mechanism to weigh different features. Haryono et al. [35] employ a Transformer-GRU architecture, using the Transformer to process news and the GRU for technical data, with a gating mechanism for fusion. Tai et al. [24] use normalizing flows to model the joint distribution of sentimental and financial signals. While these represent a sophistication over simple concatenation or averaging, the attention or gating mechanisms often lack explicit, probabilistic uncertainty quantification. The model learns a weighting scheme but does not explicitly model the confidence (</w:t>
      </w:r>
      <w:proofErr w:type="spellStart"/>
      <w:r w:rsidRPr="00666B02">
        <w:rPr>
          <w:rFonts w:ascii="Times New Roman" w:hAnsi="Times New Roman" w:cs="Times New Roman"/>
          <w:sz w:val="20"/>
          <w:szCs w:val="20"/>
        </w:rPr>
        <w:t>σ_</w:t>
      </w:r>
      <w:proofErr w:type="gramStart"/>
      <w:r w:rsidRPr="00666B02">
        <w:rPr>
          <w:rFonts w:ascii="Times New Roman" w:hAnsi="Times New Roman" w:cs="Times New Roman"/>
          <w:sz w:val="20"/>
          <w:szCs w:val="20"/>
        </w:rPr>
        <w:t>i,t</w:t>
      </w:r>
      <w:proofErr w:type="spellEnd"/>
      <w:proofErr w:type="gramEnd"/>
      <w:r w:rsidRPr="00666B02">
        <w:rPr>
          <w:rFonts w:ascii="Times New Roman" w:hAnsi="Times New Roman" w:cs="Times New Roman"/>
          <w:sz w:val="20"/>
          <w:szCs w:val="20"/>
        </w:rPr>
        <w:t>) in each input stream, making the fusion brittle in the face of regime changes or noisy data.</w:t>
      </w:r>
    </w:p>
    <w:p w14:paraId="50AD43E8" w14:textId="77777777" w:rsidR="00666B02" w:rsidRPr="00666B02" w:rsidRDefault="00666B02" w:rsidP="00666B02">
      <w:pPr>
        <w:pStyle w:val="NoSpacing"/>
        <w:jc w:val="both"/>
        <w:rPr>
          <w:rFonts w:ascii="Times New Roman" w:hAnsi="Times New Roman" w:cs="Times New Roman"/>
          <w:sz w:val="20"/>
          <w:szCs w:val="20"/>
        </w:rPr>
      </w:pPr>
    </w:p>
    <w:p w14:paraId="2212F173" w14:textId="77777777" w:rsid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Table 2 provides a taxonomy of fusion methods found in the reviewed literature, demonstrating that even the most advanced current methods rely on static or implicitly static fusion logic.</w:t>
      </w:r>
    </w:p>
    <w:p w14:paraId="4BC59E45" w14:textId="77777777" w:rsidR="00666B02" w:rsidRDefault="00666B02" w:rsidP="00666B02">
      <w:pPr>
        <w:pStyle w:val="NoSpacing"/>
        <w:jc w:val="both"/>
        <w:rPr>
          <w:rFonts w:ascii="Times New Roman" w:hAnsi="Times New Roman" w:cs="Times New Roman"/>
          <w:sz w:val="20"/>
          <w:szCs w:val="20"/>
        </w:rPr>
      </w:pPr>
    </w:p>
    <w:p w14:paraId="7755A091" w14:textId="77777777" w:rsidR="00666B02" w:rsidRDefault="00666B02" w:rsidP="00666B02">
      <w:pPr>
        <w:pStyle w:val="NoSpacing"/>
        <w:jc w:val="center"/>
        <w:rPr>
          <w:rFonts w:ascii="Times New Roman" w:hAnsi="Times New Roman" w:cs="Times New Roman"/>
          <w:sz w:val="20"/>
          <w:szCs w:val="20"/>
        </w:rPr>
      </w:pPr>
      <w:r w:rsidRPr="00666B02">
        <w:rPr>
          <w:rFonts w:ascii="Times New Roman" w:hAnsi="Times New Roman" w:cs="Times New Roman"/>
          <w:sz w:val="20"/>
          <w:szCs w:val="20"/>
        </w:rPr>
        <w:t>T</w:t>
      </w:r>
      <w:r>
        <w:rPr>
          <w:rFonts w:ascii="Times New Roman" w:hAnsi="Times New Roman" w:cs="Times New Roman"/>
          <w:sz w:val="20"/>
          <w:szCs w:val="20"/>
        </w:rPr>
        <w:t>able</w:t>
      </w:r>
      <w:r w:rsidRPr="00666B02">
        <w:rPr>
          <w:rFonts w:ascii="Times New Roman" w:hAnsi="Times New Roman" w:cs="Times New Roman"/>
          <w:sz w:val="20"/>
          <w:szCs w:val="20"/>
        </w:rPr>
        <w:t xml:space="preserve"> 2. TAXONOMY OF FUSION METHODS IN REVIEWED MULTI-SOURCE STUDIES</w:t>
      </w:r>
    </w:p>
    <w:tbl>
      <w:tblPr>
        <w:tblStyle w:val="TableGrid"/>
        <w:tblW w:w="0" w:type="auto"/>
        <w:tblLook w:val="04A0" w:firstRow="1" w:lastRow="0" w:firstColumn="1" w:lastColumn="0" w:noHBand="0" w:noVBand="1"/>
      </w:tblPr>
      <w:tblGrid>
        <w:gridCol w:w="2127"/>
        <w:gridCol w:w="2470"/>
        <w:gridCol w:w="2377"/>
        <w:gridCol w:w="2042"/>
      </w:tblGrid>
      <w:tr w:rsidR="00666B02" w:rsidRPr="00666B02" w14:paraId="2AEF10FF" w14:textId="77777777" w:rsidTr="00666B02">
        <w:tc>
          <w:tcPr>
            <w:tcW w:w="1980" w:type="dxa"/>
            <w:vAlign w:val="center"/>
          </w:tcPr>
          <w:p w14:paraId="2AFDE346"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Fusion Method</w:t>
            </w:r>
          </w:p>
        </w:tc>
        <w:tc>
          <w:tcPr>
            <w:tcW w:w="2528" w:type="dxa"/>
            <w:vAlign w:val="center"/>
          </w:tcPr>
          <w:p w14:paraId="6904AD00"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Description</w:t>
            </w:r>
          </w:p>
        </w:tc>
        <w:tc>
          <w:tcPr>
            <w:tcW w:w="2433" w:type="dxa"/>
            <w:vAlign w:val="center"/>
          </w:tcPr>
          <w:p w14:paraId="736DB828"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Key Limitations</w:t>
            </w:r>
          </w:p>
        </w:tc>
        <w:tc>
          <w:tcPr>
            <w:tcW w:w="2075" w:type="dxa"/>
            <w:vAlign w:val="center"/>
          </w:tcPr>
          <w:p w14:paraId="533ECA98" w14:textId="77777777" w:rsidR="00666B02" w:rsidRPr="00666B02" w:rsidRDefault="00666B02" w:rsidP="00666B02">
            <w:pPr>
              <w:pStyle w:val="NoSpacing"/>
              <w:jc w:val="center"/>
              <w:rPr>
                <w:rFonts w:ascii="Times New Roman" w:hAnsi="Times New Roman" w:cs="Times New Roman"/>
                <w:sz w:val="20"/>
                <w:szCs w:val="20"/>
              </w:rPr>
            </w:pPr>
            <w:r w:rsidRPr="00666B02">
              <w:rPr>
                <w:rStyle w:val="Strong"/>
                <w:rFonts w:ascii="Times New Roman" w:hAnsi="Times New Roman" w:cs="Times New Roman"/>
                <w:b w:val="0"/>
                <w:bCs w:val="0"/>
                <w:sz w:val="20"/>
                <w:szCs w:val="20"/>
              </w:rPr>
              <w:t>Representative Studies</w:t>
            </w:r>
          </w:p>
        </w:tc>
      </w:tr>
      <w:tr w:rsidR="00666B02" w:rsidRPr="00666B02" w14:paraId="205F6A7E" w14:textId="77777777" w:rsidTr="00666B02">
        <w:tc>
          <w:tcPr>
            <w:tcW w:w="1980" w:type="dxa"/>
            <w:vAlign w:val="center"/>
          </w:tcPr>
          <w:p w14:paraId="306BD011" w14:textId="77777777"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Early Fusion</w:t>
            </w:r>
          </w:p>
        </w:tc>
        <w:tc>
          <w:tcPr>
            <w:tcW w:w="2528" w:type="dxa"/>
            <w:vAlign w:val="center"/>
          </w:tcPr>
          <w:p w14:paraId="3319F651"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Concatenation of feature vectors from all sources pre-</w:t>
            </w:r>
            <w:proofErr w:type="spellStart"/>
            <w:r w:rsidRPr="00666B02">
              <w:rPr>
                <w:rFonts w:ascii="Times New Roman" w:hAnsi="Times New Roman" w:cs="Times New Roman"/>
                <w:sz w:val="20"/>
                <w:szCs w:val="20"/>
              </w:rPr>
              <w:t>modeling</w:t>
            </w:r>
            <w:proofErr w:type="spellEnd"/>
            <w:r w:rsidRPr="00666B02">
              <w:rPr>
                <w:rFonts w:ascii="Times New Roman" w:hAnsi="Times New Roman" w:cs="Times New Roman"/>
                <w:sz w:val="20"/>
                <w:szCs w:val="20"/>
              </w:rPr>
              <w:t>.</w:t>
            </w:r>
          </w:p>
        </w:tc>
        <w:tc>
          <w:tcPr>
            <w:tcW w:w="2433" w:type="dxa"/>
            <w:vAlign w:val="center"/>
          </w:tcPr>
          <w:p w14:paraId="060B489D"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Static integration; assumes fixed inter-source relationships; prone to feature dominance.</w:t>
            </w:r>
          </w:p>
        </w:tc>
        <w:tc>
          <w:tcPr>
            <w:tcW w:w="2075" w:type="dxa"/>
            <w:vAlign w:val="center"/>
          </w:tcPr>
          <w:p w14:paraId="79ED5193" w14:textId="77777777"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[3], [15], [24], [26]</w:t>
            </w:r>
          </w:p>
        </w:tc>
      </w:tr>
      <w:tr w:rsidR="00666B02" w:rsidRPr="00666B02" w14:paraId="5DC97421" w14:textId="77777777" w:rsidTr="00666B02">
        <w:tc>
          <w:tcPr>
            <w:tcW w:w="1980" w:type="dxa"/>
            <w:vAlign w:val="center"/>
          </w:tcPr>
          <w:p w14:paraId="07852171" w14:textId="77777777"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Late Fusion</w:t>
            </w:r>
          </w:p>
        </w:tc>
        <w:tc>
          <w:tcPr>
            <w:tcW w:w="2528" w:type="dxa"/>
            <w:vAlign w:val="center"/>
          </w:tcPr>
          <w:p w14:paraId="1960B256"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Averaging or stacking predictions from source-specific models.</w:t>
            </w:r>
          </w:p>
        </w:tc>
        <w:tc>
          <w:tcPr>
            <w:tcW w:w="2433" w:type="dxa"/>
            <w:vAlign w:val="center"/>
          </w:tcPr>
          <w:p w14:paraId="2DA64F41"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Static, pre-defined weighting; ignores time-varying source reliability.</w:t>
            </w:r>
          </w:p>
        </w:tc>
        <w:tc>
          <w:tcPr>
            <w:tcW w:w="2075" w:type="dxa"/>
            <w:vAlign w:val="center"/>
          </w:tcPr>
          <w:p w14:paraId="603B4B6D" w14:textId="77777777"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[5], [7], [11], [31]</w:t>
            </w:r>
          </w:p>
        </w:tc>
      </w:tr>
      <w:tr w:rsidR="00666B02" w:rsidRPr="00666B02" w14:paraId="1C6D6696" w14:textId="77777777" w:rsidTr="00666B02">
        <w:tc>
          <w:tcPr>
            <w:tcW w:w="1980" w:type="dxa"/>
            <w:vAlign w:val="center"/>
          </w:tcPr>
          <w:p w14:paraId="14790689" w14:textId="77777777"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Attention-Based Hybrid</w:t>
            </w:r>
          </w:p>
        </w:tc>
        <w:tc>
          <w:tcPr>
            <w:tcW w:w="2528" w:type="dxa"/>
            <w:vAlign w:val="center"/>
          </w:tcPr>
          <w:p w14:paraId="01FC6281"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Neural attention mechanisms to weight features or modalities.</w:t>
            </w:r>
          </w:p>
        </w:tc>
        <w:tc>
          <w:tcPr>
            <w:tcW w:w="2433" w:type="dxa"/>
            <w:vAlign w:val="center"/>
          </w:tcPr>
          <w:p w14:paraId="4A5BB333" w14:textId="77777777" w:rsidR="00666B02" w:rsidRPr="00666B02" w:rsidRDefault="00666B02" w:rsidP="00666B02">
            <w:pPr>
              <w:pStyle w:val="NoSpacing"/>
              <w:jc w:val="both"/>
              <w:rPr>
                <w:rFonts w:ascii="Times New Roman" w:hAnsi="Times New Roman" w:cs="Times New Roman"/>
                <w:sz w:val="20"/>
                <w:szCs w:val="20"/>
              </w:rPr>
            </w:pPr>
            <w:r w:rsidRPr="00666B02">
              <w:rPr>
                <w:rFonts w:ascii="Times New Roman" w:hAnsi="Times New Roman" w:cs="Times New Roman"/>
                <w:sz w:val="20"/>
                <w:szCs w:val="20"/>
              </w:rPr>
              <w:t>Weights are point estimates without uncertainty; can be unstable with noisy inputs.</w:t>
            </w:r>
          </w:p>
        </w:tc>
        <w:tc>
          <w:tcPr>
            <w:tcW w:w="2075" w:type="dxa"/>
            <w:vAlign w:val="center"/>
          </w:tcPr>
          <w:p w14:paraId="3AF6782F" w14:textId="77777777" w:rsidR="00666B02" w:rsidRPr="00666B02" w:rsidRDefault="00666B02" w:rsidP="00666B02">
            <w:pPr>
              <w:pStyle w:val="NoSpacing"/>
              <w:rPr>
                <w:rFonts w:ascii="Times New Roman" w:hAnsi="Times New Roman" w:cs="Times New Roman"/>
                <w:sz w:val="20"/>
                <w:szCs w:val="20"/>
              </w:rPr>
            </w:pPr>
            <w:r w:rsidRPr="00666B02">
              <w:rPr>
                <w:rFonts w:ascii="Times New Roman" w:hAnsi="Times New Roman" w:cs="Times New Roman"/>
                <w:sz w:val="20"/>
                <w:szCs w:val="20"/>
              </w:rPr>
              <w:t>[2], [35]</w:t>
            </w:r>
          </w:p>
        </w:tc>
      </w:tr>
      <w:tr w:rsidR="00666B02" w:rsidRPr="00666B02" w14:paraId="20768F85" w14:textId="77777777" w:rsidTr="00666B02">
        <w:tc>
          <w:tcPr>
            <w:tcW w:w="1980" w:type="dxa"/>
            <w:vAlign w:val="center"/>
          </w:tcPr>
          <w:p w14:paraId="2C055538" w14:textId="77777777"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sz w:val="20"/>
                <w:szCs w:val="20"/>
              </w:rPr>
              <w:t>Dynamic/Uncertainty-Aware</w:t>
            </w:r>
          </w:p>
        </w:tc>
        <w:tc>
          <w:tcPr>
            <w:tcW w:w="2528" w:type="dxa"/>
            <w:vAlign w:val="center"/>
          </w:tcPr>
          <w:p w14:paraId="63A31F2E" w14:textId="77777777" w:rsidR="00666B02" w:rsidRPr="00666B02" w:rsidRDefault="00666B02" w:rsidP="00666B02">
            <w:pPr>
              <w:pStyle w:val="NoSpacing"/>
              <w:jc w:val="both"/>
              <w:rPr>
                <w:rFonts w:ascii="Times New Roman" w:hAnsi="Times New Roman" w:cs="Times New Roman"/>
                <w:sz w:val="20"/>
                <w:szCs w:val="20"/>
              </w:rPr>
            </w:pPr>
            <w:r w:rsidRPr="00666B02">
              <w:rPr>
                <w:rStyle w:val="Strong"/>
                <w:rFonts w:ascii="Times New Roman" w:hAnsi="Times New Roman" w:cs="Times New Roman"/>
                <w:b w:val="0"/>
                <w:bCs w:val="0"/>
                <w:sz w:val="20"/>
                <w:szCs w:val="20"/>
              </w:rPr>
              <w:t>Proposed Gap:</w:t>
            </w:r>
            <w:r w:rsidRPr="00666B02">
              <w:rPr>
                <w:rFonts w:ascii="Times New Roman" w:hAnsi="Times New Roman" w:cs="Times New Roman"/>
                <w:sz w:val="20"/>
                <w:szCs w:val="20"/>
              </w:rPr>
              <w:t> Weights based on time-varying uncertainty estimates.</w:t>
            </w:r>
          </w:p>
        </w:tc>
        <w:tc>
          <w:tcPr>
            <w:tcW w:w="2433" w:type="dxa"/>
            <w:vAlign w:val="center"/>
          </w:tcPr>
          <w:p w14:paraId="03F01FC0" w14:textId="77777777" w:rsidR="00666B02" w:rsidRPr="00666B02" w:rsidRDefault="00666B02" w:rsidP="00666B02">
            <w:pPr>
              <w:pStyle w:val="NoSpacing"/>
              <w:jc w:val="both"/>
              <w:rPr>
                <w:rFonts w:ascii="Times New Roman" w:hAnsi="Times New Roman" w:cs="Times New Roman"/>
                <w:sz w:val="20"/>
                <w:szCs w:val="20"/>
              </w:rPr>
            </w:pPr>
            <w:r w:rsidRPr="00666B02">
              <w:rPr>
                <w:rStyle w:val="Strong"/>
                <w:rFonts w:ascii="Times New Roman" w:hAnsi="Times New Roman" w:cs="Times New Roman"/>
                <w:b w:val="0"/>
                <w:bCs w:val="0"/>
                <w:sz w:val="20"/>
                <w:szCs w:val="20"/>
              </w:rPr>
              <w:t>Not found in reviewed literature.</w:t>
            </w:r>
          </w:p>
        </w:tc>
        <w:tc>
          <w:tcPr>
            <w:tcW w:w="2075" w:type="dxa"/>
            <w:vAlign w:val="center"/>
          </w:tcPr>
          <w:p w14:paraId="2DFEBBC7" w14:textId="77777777" w:rsidR="00666B02" w:rsidRPr="00666B02" w:rsidRDefault="00666B02" w:rsidP="00666B02">
            <w:pPr>
              <w:pStyle w:val="NoSpacing"/>
              <w:rPr>
                <w:rFonts w:ascii="Times New Roman" w:hAnsi="Times New Roman" w:cs="Times New Roman"/>
                <w:sz w:val="20"/>
                <w:szCs w:val="20"/>
              </w:rPr>
            </w:pPr>
            <w:r w:rsidRPr="00666B02">
              <w:rPr>
                <w:rStyle w:val="Strong"/>
                <w:rFonts w:ascii="Times New Roman" w:hAnsi="Times New Roman" w:cs="Times New Roman"/>
                <w:b w:val="0"/>
                <w:bCs w:val="0"/>
                <w:sz w:val="20"/>
                <w:szCs w:val="20"/>
              </w:rPr>
              <w:t>None</w:t>
            </w:r>
          </w:p>
        </w:tc>
      </w:tr>
    </w:tbl>
    <w:p w14:paraId="7F6CAD11" w14:textId="77777777" w:rsidR="00666B02" w:rsidRDefault="00666B02" w:rsidP="00666B02">
      <w:pPr>
        <w:pStyle w:val="NoSpacing"/>
        <w:jc w:val="both"/>
        <w:rPr>
          <w:rFonts w:ascii="Times New Roman" w:hAnsi="Times New Roman" w:cs="Times New Roman"/>
          <w:sz w:val="20"/>
          <w:szCs w:val="20"/>
        </w:rPr>
      </w:pPr>
    </w:p>
    <w:p w14:paraId="07385785" w14:textId="77777777" w:rsidR="00D654B3" w:rsidRPr="00D654B3" w:rsidRDefault="00D654B3" w:rsidP="00D654B3">
      <w:pPr>
        <w:pStyle w:val="NoSpacing"/>
        <w:jc w:val="both"/>
        <w:rPr>
          <w:rFonts w:ascii="Times New Roman" w:hAnsi="Times New Roman" w:cs="Times New Roman"/>
          <w:b/>
          <w:bCs/>
          <w:sz w:val="20"/>
          <w:szCs w:val="20"/>
        </w:rPr>
      </w:pPr>
      <w:r w:rsidRPr="00D654B3">
        <w:rPr>
          <w:rFonts w:ascii="Times New Roman" w:hAnsi="Times New Roman" w:cs="Times New Roman"/>
          <w:b/>
          <w:bCs/>
          <w:sz w:val="20"/>
          <w:szCs w:val="20"/>
        </w:rPr>
        <w:t>2.3 The Critical Gap: Static Fusion in a Dynamic World</w:t>
      </w:r>
    </w:p>
    <w:p w14:paraId="178243FD" w14:textId="77777777" w:rsidR="00D654B3" w:rsidRPr="00D654B3"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A rigorous scrutiny of the fusion strategies in Table 2 reveals a universal and critical shortcoming: they are fundamentally static. They operate under the assumption that the relationship and predictive power between, for example, technical indicators and news sentiment, are constant. This is a flawed premise in financial markets, which are characterized by non-stationarity and distinct regimes (e.g., bull markets, bear markets, high-volatility events) [21], [24].</w:t>
      </w:r>
    </w:p>
    <w:p w14:paraId="7B76FD00" w14:textId="77777777" w:rsidR="00D654B3" w:rsidRPr="00D654B3" w:rsidRDefault="00D654B3" w:rsidP="00D654B3">
      <w:pPr>
        <w:pStyle w:val="NoSpacing"/>
        <w:jc w:val="both"/>
        <w:rPr>
          <w:rFonts w:ascii="Times New Roman" w:hAnsi="Times New Roman" w:cs="Times New Roman"/>
          <w:sz w:val="20"/>
          <w:szCs w:val="20"/>
        </w:rPr>
      </w:pPr>
    </w:p>
    <w:p w14:paraId="1ED4DCC4" w14:textId="77777777" w:rsidR="00D654B3" w:rsidRPr="00D654B3"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For instance, during a period of stable trending, technical indicators may provide highly reliable signals. Conversely, during a sudden market crash or a major earnings announcement, sentiment from news and social media becomes the primary driver, and technical patterns may completely break down. A model with a static fusion mechanism, whether it be a fixed concatenation [15] or an averaging scheme [5], cannot adapt to this shift. It will continue to over-weight the now-unreliable technical signals, leading to significant predictive errors. Bacco et al. [21] explicitly study prediction under "high uncertainty" but still use a static LSTM-sentiment fusion, failing to dynamically adjust the model's reliance on each source as the uncertainty evolves.</w:t>
      </w:r>
    </w:p>
    <w:p w14:paraId="6726171A" w14:textId="77777777" w:rsidR="00D654B3" w:rsidRPr="00D654B3" w:rsidRDefault="00D654B3" w:rsidP="00D654B3">
      <w:pPr>
        <w:pStyle w:val="NoSpacing"/>
        <w:jc w:val="both"/>
        <w:rPr>
          <w:rFonts w:ascii="Times New Roman" w:hAnsi="Times New Roman" w:cs="Times New Roman"/>
          <w:sz w:val="20"/>
          <w:szCs w:val="20"/>
        </w:rPr>
      </w:pPr>
    </w:p>
    <w:p w14:paraId="3B5140B9" w14:textId="77777777" w:rsidR="00D654B3" w:rsidRPr="00D654B3"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 xml:space="preserve">This problem is compounded by the absence of explicit uncertainty quantification. In Bayesian machine learning, a prediction is not complete without an estimate of its uncertainty. In a multi-source context, the uncertainty </w:t>
      </w:r>
      <w:proofErr w:type="spellStart"/>
      <w:r w:rsidRPr="00D654B3">
        <w:rPr>
          <w:rFonts w:ascii="Times New Roman" w:hAnsi="Times New Roman" w:cs="Times New Roman"/>
          <w:sz w:val="20"/>
          <w:szCs w:val="20"/>
        </w:rPr>
        <w:t>σ_i</w:t>
      </w:r>
      <w:proofErr w:type="spellEnd"/>
      <w:r w:rsidRPr="00D654B3">
        <w:rPr>
          <w:rFonts w:ascii="Times New Roman" w:hAnsi="Times New Roman" w:cs="Times New Roman"/>
          <w:sz w:val="20"/>
          <w:szCs w:val="20"/>
        </w:rPr>
        <w:t>,</w:t>
      </w:r>
      <w:r w:rsidR="00817D78">
        <w:rPr>
          <w:rFonts w:ascii="Times New Roman" w:hAnsi="Times New Roman" w:cs="Times New Roman"/>
          <w:sz w:val="20"/>
          <w:szCs w:val="20"/>
        </w:rPr>
        <w:t xml:space="preserve"> </w:t>
      </w:r>
      <w:r w:rsidRPr="00D654B3">
        <w:rPr>
          <w:rFonts w:ascii="Times New Roman" w:hAnsi="Times New Roman" w:cs="Times New Roman"/>
          <w:sz w:val="20"/>
          <w:szCs w:val="20"/>
        </w:rPr>
        <w:t xml:space="preserve">t associated with the prediction from source </w:t>
      </w:r>
      <w:proofErr w:type="spellStart"/>
      <w:r w:rsidRPr="00D654B3">
        <w:rPr>
          <w:rFonts w:ascii="Times New Roman" w:hAnsi="Times New Roman" w:cs="Times New Roman"/>
          <w:sz w:val="20"/>
          <w:szCs w:val="20"/>
        </w:rPr>
        <w:t>i</w:t>
      </w:r>
      <w:proofErr w:type="spellEnd"/>
      <w:r w:rsidRPr="00D654B3">
        <w:rPr>
          <w:rFonts w:ascii="Times New Roman" w:hAnsi="Times New Roman" w:cs="Times New Roman"/>
          <w:sz w:val="20"/>
          <w:szCs w:val="20"/>
        </w:rPr>
        <w:t xml:space="preserve"> at time t is a crucial signal. A sentiment score derived from a vague or contradictory news article should carry high uncertainty and be down-weighted in the fusion. A technical </w:t>
      </w:r>
      <w:r w:rsidRPr="00D654B3">
        <w:rPr>
          <w:rFonts w:ascii="Times New Roman" w:hAnsi="Times New Roman" w:cs="Times New Roman"/>
          <w:sz w:val="20"/>
          <w:szCs w:val="20"/>
        </w:rPr>
        <w:lastRenderedPageBreak/>
        <w:t>indicator during a low-volume holiday period should similarly be discounted. None of the reviewed studies [3], [5], [15], [35] incorporate this principle. They fuse point predictions without confidence intervals, treating all signals as equally reliable at every moment. This makes the entire fusion process statistically brittle and overconfident.</w:t>
      </w:r>
    </w:p>
    <w:p w14:paraId="372CD1D9" w14:textId="77777777" w:rsidR="00D654B3" w:rsidRPr="00D654B3" w:rsidRDefault="00D654B3" w:rsidP="00D654B3">
      <w:pPr>
        <w:pStyle w:val="NoSpacing"/>
        <w:jc w:val="both"/>
        <w:rPr>
          <w:rFonts w:ascii="Times New Roman" w:hAnsi="Times New Roman" w:cs="Times New Roman"/>
          <w:sz w:val="20"/>
          <w:szCs w:val="20"/>
        </w:rPr>
      </w:pPr>
    </w:p>
    <w:p w14:paraId="4D7B471A" w14:textId="77777777" w:rsidR="00666B02" w:rsidRDefault="00D654B3" w:rsidP="00D654B3">
      <w:pPr>
        <w:pStyle w:val="NoSpacing"/>
        <w:jc w:val="both"/>
        <w:rPr>
          <w:rFonts w:ascii="Times New Roman" w:hAnsi="Times New Roman" w:cs="Times New Roman"/>
          <w:sz w:val="20"/>
          <w:szCs w:val="20"/>
        </w:rPr>
      </w:pPr>
      <w:r w:rsidRPr="00D654B3">
        <w:rPr>
          <w:rFonts w:ascii="Times New Roman" w:hAnsi="Times New Roman" w:cs="Times New Roman"/>
          <w:sz w:val="20"/>
          <w:szCs w:val="20"/>
        </w:rPr>
        <w:t>Table 3 synthesizes the key methodological gaps identified across the literature, highlighting the universal neglect of dynamic reliability assessment and uncertainty-aware fusion.</w:t>
      </w:r>
    </w:p>
    <w:p w14:paraId="0D637F0C" w14:textId="77777777" w:rsidR="00D654B3" w:rsidRDefault="00D654B3" w:rsidP="00D654B3">
      <w:pPr>
        <w:pStyle w:val="NoSpacing"/>
        <w:jc w:val="both"/>
        <w:rPr>
          <w:rFonts w:ascii="Times New Roman" w:hAnsi="Times New Roman" w:cs="Times New Roman"/>
          <w:sz w:val="20"/>
          <w:szCs w:val="20"/>
        </w:rPr>
      </w:pPr>
    </w:p>
    <w:p w14:paraId="3D0DB797" w14:textId="77777777" w:rsidR="00D654B3" w:rsidRDefault="00D654B3" w:rsidP="00D654B3">
      <w:pPr>
        <w:pStyle w:val="NoSpacing"/>
        <w:jc w:val="center"/>
        <w:rPr>
          <w:rFonts w:ascii="Times New Roman" w:hAnsi="Times New Roman" w:cs="Times New Roman"/>
          <w:sz w:val="20"/>
          <w:szCs w:val="20"/>
        </w:rPr>
      </w:pPr>
      <w:r w:rsidRPr="00D654B3">
        <w:rPr>
          <w:rFonts w:ascii="Times New Roman" w:hAnsi="Times New Roman" w:cs="Times New Roman"/>
          <w:sz w:val="20"/>
          <w:szCs w:val="20"/>
        </w:rPr>
        <w:t>T</w:t>
      </w:r>
      <w:r>
        <w:rPr>
          <w:rFonts w:ascii="Times New Roman" w:hAnsi="Times New Roman" w:cs="Times New Roman"/>
          <w:sz w:val="20"/>
          <w:szCs w:val="20"/>
        </w:rPr>
        <w:t>able</w:t>
      </w:r>
      <w:r w:rsidRPr="00D654B3">
        <w:rPr>
          <w:rFonts w:ascii="Times New Roman" w:hAnsi="Times New Roman" w:cs="Times New Roman"/>
          <w:sz w:val="20"/>
          <w:szCs w:val="20"/>
        </w:rPr>
        <w:t xml:space="preserve"> 3. SYNTHESIS OF CRITICAL METHODOLOGICAL GAPS IN MULTI-SOURCE FUSION LITERATURE</w:t>
      </w:r>
    </w:p>
    <w:tbl>
      <w:tblPr>
        <w:tblStyle w:val="TableGrid"/>
        <w:tblW w:w="0" w:type="auto"/>
        <w:tblLook w:val="04A0" w:firstRow="1" w:lastRow="0" w:firstColumn="1" w:lastColumn="0" w:noHBand="0" w:noVBand="1"/>
      </w:tblPr>
      <w:tblGrid>
        <w:gridCol w:w="2122"/>
        <w:gridCol w:w="3402"/>
        <w:gridCol w:w="3492"/>
      </w:tblGrid>
      <w:tr w:rsidR="00817D78" w14:paraId="76C3629E" w14:textId="77777777" w:rsidTr="00817D78">
        <w:tc>
          <w:tcPr>
            <w:tcW w:w="2122" w:type="dxa"/>
            <w:vAlign w:val="center"/>
          </w:tcPr>
          <w:p w14:paraId="5248F997" w14:textId="77777777"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sz w:val="20"/>
                <w:szCs w:val="20"/>
              </w:rPr>
              <w:t>Identified Gap</w:t>
            </w:r>
          </w:p>
        </w:tc>
        <w:tc>
          <w:tcPr>
            <w:tcW w:w="3402" w:type="dxa"/>
            <w:vAlign w:val="center"/>
          </w:tcPr>
          <w:p w14:paraId="549BF89C" w14:textId="77777777"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sz w:val="20"/>
                <w:szCs w:val="20"/>
              </w:rPr>
              <w:t>Manifestation in Literature</w:t>
            </w:r>
          </w:p>
        </w:tc>
        <w:tc>
          <w:tcPr>
            <w:tcW w:w="3492" w:type="dxa"/>
            <w:vAlign w:val="center"/>
          </w:tcPr>
          <w:p w14:paraId="7E9D61F1" w14:textId="77777777"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sz w:val="20"/>
                <w:szCs w:val="20"/>
              </w:rPr>
              <w:t>Impact on Model Performance</w:t>
            </w:r>
          </w:p>
        </w:tc>
      </w:tr>
      <w:tr w:rsidR="00817D78" w14:paraId="2633CCE7" w14:textId="77777777" w:rsidTr="00817D78">
        <w:tc>
          <w:tcPr>
            <w:tcW w:w="2122" w:type="dxa"/>
            <w:vAlign w:val="center"/>
          </w:tcPr>
          <w:p w14:paraId="40AB4235" w14:textId="77777777"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Static Fusion Weights</w:t>
            </w:r>
          </w:p>
        </w:tc>
        <w:tc>
          <w:tcPr>
            <w:tcW w:w="3402" w:type="dxa"/>
            <w:vAlign w:val="center"/>
          </w:tcPr>
          <w:p w14:paraId="0517BA02"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Fixed concatenation [15], averaging [7], or attention without temporal adaptation [2], [35].</w:t>
            </w:r>
          </w:p>
        </w:tc>
        <w:tc>
          <w:tcPr>
            <w:tcW w:w="3492" w:type="dxa"/>
            <w:vAlign w:val="center"/>
          </w:tcPr>
          <w:p w14:paraId="7A478E87"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 xml:space="preserve">Failure to adapt to market regime changes; persistent </w:t>
            </w:r>
            <w:proofErr w:type="spellStart"/>
            <w:r w:rsidRPr="00817D78">
              <w:rPr>
                <w:rFonts w:ascii="Times New Roman" w:hAnsi="Times New Roman" w:cs="Times New Roman"/>
                <w:sz w:val="20"/>
                <w:szCs w:val="20"/>
              </w:rPr>
              <w:t>misweighting</w:t>
            </w:r>
            <w:proofErr w:type="spellEnd"/>
            <w:r w:rsidRPr="00817D78">
              <w:rPr>
                <w:rFonts w:ascii="Times New Roman" w:hAnsi="Times New Roman" w:cs="Times New Roman"/>
                <w:sz w:val="20"/>
                <w:szCs w:val="20"/>
              </w:rPr>
              <w:t xml:space="preserve"> of sources during volatility.</w:t>
            </w:r>
          </w:p>
        </w:tc>
      </w:tr>
      <w:tr w:rsidR="00817D78" w14:paraId="5C0E0102" w14:textId="77777777" w:rsidTr="00817D78">
        <w:tc>
          <w:tcPr>
            <w:tcW w:w="2122" w:type="dxa"/>
            <w:vAlign w:val="center"/>
          </w:tcPr>
          <w:p w14:paraId="2C487723" w14:textId="77777777"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Ignored Predictive Uncertainty</w:t>
            </w:r>
          </w:p>
        </w:tc>
        <w:tc>
          <w:tcPr>
            <w:tcW w:w="3402" w:type="dxa"/>
            <w:vAlign w:val="center"/>
          </w:tcPr>
          <w:p w14:paraId="730F3C8C"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Fusion of point predictions only; no use of confidence intervals </w:t>
            </w:r>
            <w:proofErr w:type="spellStart"/>
            <w:r w:rsidRPr="00817D78">
              <w:rPr>
                <w:rStyle w:val="HTMLCode"/>
                <w:rFonts w:ascii="Times New Roman" w:eastAsiaTheme="minorHAnsi" w:hAnsi="Times New Roman" w:cs="Times New Roman"/>
              </w:rPr>
              <w:t>σ_</w:t>
            </w:r>
            <w:proofErr w:type="gramStart"/>
            <w:r w:rsidRPr="00817D78">
              <w:rPr>
                <w:rStyle w:val="HTMLCode"/>
                <w:rFonts w:ascii="Times New Roman" w:eastAsiaTheme="minorHAnsi" w:hAnsi="Times New Roman" w:cs="Times New Roman"/>
              </w:rPr>
              <w:t>i,t</w:t>
            </w:r>
            <w:proofErr w:type="spellEnd"/>
            <w:proofErr w:type="gramEnd"/>
            <w:r w:rsidRPr="00817D78">
              <w:rPr>
                <w:rFonts w:ascii="Times New Roman" w:hAnsi="Times New Roman" w:cs="Times New Roman"/>
                <w:sz w:val="20"/>
                <w:szCs w:val="20"/>
              </w:rPr>
              <w:t> for weighting.</w:t>
            </w:r>
          </w:p>
        </w:tc>
        <w:tc>
          <w:tcPr>
            <w:tcW w:w="3492" w:type="dxa"/>
            <w:vAlign w:val="center"/>
          </w:tcPr>
          <w:p w14:paraId="2A92C7F6"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Inability to discount noisy or unreliable signals in real-time; overconfident and brittle predictions.</w:t>
            </w:r>
          </w:p>
        </w:tc>
      </w:tr>
      <w:tr w:rsidR="00817D78" w14:paraId="59B9F910" w14:textId="77777777" w:rsidTr="00817D78">
        <w:tc>
          <w:tcPr>
            <w:tcW w:w="2122" w:type="dxa"/>
            <w:vAlign w:val="center"/>
          </w:tcPr>
          <w:p w14:paraId="20497EFF" w14:textId="77777777"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Lack of Robustness Analysis</w:t>
            </w:r>
          </w:p>
        </w:tc>
        <w:tc>
          <w:tcPr>
            <w:tcW w:w="3402" w:type="dxa"/>
            <w:vAlign w:val="center"/>
          </w:tcPr>
          <w:p w14:paraId="3E99CB3D"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Performance reported as average metrics; no analysis of performance across different market regimes.</w:t>
            </w:r>
          </w:p>
        </w:tc>
        <w:tc>
          <w:tcPr>
            <w:tcW w:w="3492" w:type="dxa"/>
            <w:vAlign w:val="center"/>
          </w:tcPr>
          <w:p w14:paraId="2D16AB64"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 xml:space="preserve">Overstated generalizability; models may fail catastrophically outside specific </w:t>
            </w:r>
            <w:proofErr w:type="spellStart"/>
            <w:r w:rsidRPr="00817D78">
              <w:rPr>
                <w:rFonts w:ascii="Times New Roman" w:hAnsi="Times New Roman" w:cs="Times New Roman"/>
                <w:sz w:val="20"/>
                <w:szCs w:val="20"/>
              </w:rPr>
              <w:t>backtest</w:t>
            </w:r>
            <w:proofErr w:type="spellEnd"/>
            <w:r w:rsidRPr="00817D78">
              <w:rPr>
                <w:rFonts w:ascii="Times New Roman" w:hAnsi="Times New Roman" w:cs="Times New Roman"/>
                <w:sz w:val="20"/>
                <w:szCs w:val="20"/>
              </w:rPr>
              <w:t xml:space="preserve"> conditions.</w:t>
            </w:r>
          </w:p>
        </w:tc>
      </w:tr>
      <w:tr w:rsidR="00817D78" w14:paraId="4E5582FE" w14:textId="77777777" w:rsidTr="00817D78">
        <w:tc>
          <w:tcPr>
            <w:tcW w:w="2122" w:type="dxa"/>
            <w:vAlign w:val="center"/>
          </w:tcPr>
          <w:p w14:paraId="4E94BD91" w14:textId="77777777" w:rsidR="00817D78" w:rsidRPr="00817D78" w:rsidRDefault="00817D78" w:rsidP="00817D78">
            <w:pPr>
              <w:pStyle w:val="NoSpacing"/>
              <w:rPr>
                <w:rFonts w:ascii="Times New Roman" w:hAnsi="Times New Roman" w:cs="Times New Roman"/>
                <w:sz w:val="20"/>
                <w:szCs w:val="20"/>
              </w:rPr>
            </w:pPr>
            <w:r w:rsidRPr="00817D78">
              <w:rPr>
                <w:rStyle w:val="Strong"/>
                <w:rFonts w:ascii="Times New Roman" w:hAnsi="Times New Roman" w:cs="Times New Roman"/>
                <w:b w:val="0"/>
                <w:bCs w:val="0"/>
                <w:sz w:val="20"/>
                <w:szCs w:val="20"/>
              </w:rPr>
              <w:t>Ad-Hoc Preprocessing</w:t>
            </w:r>
          </w:p>
        </w:tc>
        <w:tc>
          <w:tcPr>
            <w:tcW w:w="3402" w:type="dxa"/>
            <w:vAlign w:val="center"/>
          </w:tcPr>
          <w:p w14:paraId="3B394CF3"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Inconsistent or underreported handling of missing data, outliers, and normalization [33].</w:t>
            </w:r>
          </w:p>
        </w:tc>
        <w:tc>
          <w:tcPr>
            <w:tcW w:w="3492" w:type="dxa"/>
            <w:vAlign w:val="center"/>
          </w:tcPr>
          <w:p w14:paraId="2049E7FC" w14:textId="77777777" w:rsidR="00817D78" w:rsidRPr="00817D78" w:rsidRDefault="00817D78" w:rsidP="00817D78">
            <w:pPr>
              <w:pStyle w:val="NoSpacing"/>
              <w:jc w:val="both"/>
              <w:rPr>
                <w:rFonts w:ascii="Times New Roman" w:hAnsi="Times New Roman" w:cs="Times New Roman"/>
                <w:sz w:val="20"/>
                <w:szCs w:val="20"/>
              </w:rPr>
            </w:pPr>
            <w:r w:rsidRPr="00817D78">
              <w:rPr>
                <w:rFonts w:ascii="Times New Roman" w:hAnsi="Times New Roman" w:cs="Times New Roman"/>
                <w:sz w:val="20"/>
                <w:szCs w:val="20"/>
              </w:rPr>
              <w:t>Threat to reproducibility and real-world validity; performance gains may be artifacts of flawed preprocessing.</w:t>
            </w:r>
          </w:p>
        </w:tc>
      </w:tr>
    </w:tbl>
    <w:p w14:paraId="418F18F3" w14:textId="77777777" w:rsidR="00817D78" w:rsidRDefault="00817D78" w:rsidP="00D654B3">
      <w:pPr>
        <w:pStyle w:val="NoSpacing"/>
        <w:jc w:val="center"/>
        <w:rPr>
          <w:rFonts w:ascii="Times New Roman" w:hAnsi="Times New Roman" w:cs="Times New Roman"/>
          <w:sz w:val="20"/>
          <w:szCs w:val="20"/>
        </w:rPr>
      </w:pPr>
    </w:p>
    <w:p w14:paraId="29BCF17A" w14:textId="77777777" w:rsidR="00627022" w:rsidRPr="00627022" w:rsidRDefault="00627022" w:rsidP="00627022">
      <w:pPr>
        <w:pStyle w:val="NoSpacing"/>
        <w:jc w:val="both"/>
        <w:rPr>
          <w:rFonts w:ascii="Times New Roman" w:hAnsi="Times New Roman" w:cs="Times New Roman"/>
          <w:sz w:val="20"/>
          <w:szCs w:val="20"/>
        </w:rPr>
      </w:pPr>
      <w:r w:rsidRPr="00627022">
        <w:rPr>
          <w:rFonts w:ascii="Times New Roman" w:hAnsi="Times New Roman" w:cs="Times New Roman"/>
          <w:sz w:val="20"/>
          <w:szCs w:val="20"/>
        </w:rPr>
        <w:t>The literature demonstrates a clear and successful trajectory towards the integration of multi-source data for financial forecasting. The community has progressed from technical analysis to the sophisticated incorporation of textual sentiment via LLMs [12], [23] and alternative data [4], [22]. However, the fusion mechanisms that bind these diverse data streams together have not kept pace. The prevailing strategies—early, late, and even advanced hybrid fusion—are fundamentally static and ignore the critical dimension of predictive uncertainty.</w:t>
      </w:r>
    </w:p>
    <w:p w14:paraId="5088AEEF" w14:textId="77777777" w:rsidR="00627022" w:rsidRPr="00627022" w:rsidRDefault="00627022" w:rsidP="00627022">
      <w:pPr>
        <w:pStyle w:val="NoSpacing"/>
        <w:jc w:val="both"/>
        <w:rPr>
          <w:rFonts w:ascii="Times New Roman" w:hAnsi="Times New Roman" w:cs="Times New Roman"/>
          <w:sz w:val="20"/>
          <w:szCs w:val="20"/>
        </w:rPr>
      </w:pPr>
    </w:p>
    <w:p w14:paraId="26ABE9F5" w14:textId="77777777" w:rsidR="0051091D" w:rsidRDefault="00627022" w:rsidP="0051091D">
      <w:pPr>
        <w:pStyle w:val="NoSpacing"/>
        <w:jc w:val="both"/>
        <w:rPr>
          <w:rFonts w:ascii="Times New Roman" w:hAnsi="Times New Roman" w:cs="Times New Roman"/>
          <w:sz w:val="20"/>
          <w:szCs w:val="20"/>
        </w:rPr>
      </w:pPr>
      <w:r w:rsidRPr="00627022">
        <w:rPr>
          <w:rFonts w:ascii="Times New Roman" w:hAnsi="Times New Roman" w:cs="Times New Roman"/>
          <w:sz w:val="20"/>
          <w:szCs w:val="20"/>
        </w:rPr>
        <w:t>This creates a well-defined and significant research gap: the need for a dynamic, uncertainty-weighted fusion framework. The proposed framework, which uses a Bayesian approach to estimate time-varying source uncertainties (</w:t>
      </w:r>
      <w:proofErr w:type="spellStart"/>
      <w:r w:rsidRPr="00627022">
        <w:rPr>
          <w:rFonts w:ascii="Times New Roman" w:hAnsi="Times New Roman" w:cs="Times New Roman"/>
          <w:sz w:val="20"/>
          <w:szCs w:val="20"/>
        </w:rPr>
        <w:t>σ_</w:t>
      </w:r>
      <w:proofErr w:type="gramStart"/>
      <w:r w:rsidRPr="00627022">
        <w:rPr>
          <w:rFonts w:ascii="Times New Roman" w:hAnsi="Times New Roman" w:cs="Times New Roman"/>
          <w:sz w:val="20"/>
          <w:szCs w:val="20"/>
        </w:rPr>
        <w:t>i,t</w:t>
      </w:r>
      <w:proofErr w:type="spellEnd"/>
      <w:proofErr w:type="gramEnd"/>
      <w:r w:rsidRPr="00627022">
        <w:rPr>
          <w:rFonts w:ascii="Times New Roman" w:hAnsi="Times New Roman" w:cs="Times New Roman"/>
          <w:sz w:val="20"/>
          <w:szCs w:val="20"/>
        </w:rPr>
        <w:t>) and dynamically adjust fusion weights (</w:t>
      </w:r>
      <w:proofErr w:type="spellStart"/>
      <w:r w:rsidRPr="00627022">
        <w:rPr>
          <w:rFonts w:ascii="Times New Roman" w:hAnsi="Times New Roman" w:cs="Times New Roman"/>
          <w:sz w:val="20"/>
          <w:szCs w:val="20"/>
        </w:rPr>
        <w:t>w_</w:t>
      </w:r>
      <w:proofErr w:type="gramStart"/>
      <w:r w:rsidRPr="00627022">
        <w:rPr>
          <w:rFonts w:ascii="Times New Roman" w:hAnsi="Times New Roman" w:cs="Times New Roman"/>
          <w:sz w:val="20"/>
          <w:szCs w:val="20"/>
        </w:rPr>
        <w:t>i,t</w:t>
      </w:r>
      <w:proofErr w:type="spellEnd"/>
      <w:proofErr w:type="gramEnd"/>
      <w:r w:rsidRPr="00627022">
        <w:rPr>
          <w:rFonts w:ascii="Times New Roman" w:hAnsi="Times New Roman" w:cs="Times New Roman"/>
          <w:sz w:val="20"/>
          <w:szCs w:val="20"/>
        </w:rPr>
        <w:t>), directly addresses the limitations synthesized in Table 3. It represents the necessary evolution from asking "what data to fuse" to solving "how to fuse data intelligently and adaptively" in the non-stationary environment of financial markets. The following section will formalize this proposed framework to address this identified gap.</w:t>
      </w:r>
    </w:p>
    <w:p w14:paraId="2C3B1B65" w14:textId="77777777" w:rsidR="0051091D" w:rsidRDefault="0051091D" w:rsidP="0051091D">
      <w:pPr>
        <w:pStyle w:val="NoSpacing"/>
        <w:jc w:val="both"/>
        <w:rPr>
          <w:rFonts w:ascii="Times New Roman" w:hAnsi="Times New Roman" w:cs="Times New Roman"/>
          <w:sz w:val="20"/>
          <w:szCs w:val="20"/>
        </w:rPr>
      </w:pPr>
    </w:p>
    <w:p w14:paraId="7296BECA" w14:textId="77777777" w:rsidR="0051091D" w:rsidRDefault="0051091D" w:rsidP="0051091D">
      <w:pPr>
        <w:pStyle w:val="NoSpacing"/>
        <w:numPr>
          <w:ilvl w:val="0"/>
          <w:numId w:val="3"/>
        </w:numPr>
        <w:jc w:val="both"/>
        <w:rPr>
          <w:rFonts w:ascii="Times New Roman" w:hAnsi="Times New Roman" w:cs="Times New Roman"/>
          <w:b/>
          <w:bCs/>
        </w:rPr>
      </w:pPr>
      <w:r w:rsidRPr="0051091D">
        <w:rPr>
          <w:rFonts w:ascii="Times New Roman" w:hAnsi="Times New Roman" w:cs="Times New Roman"/>
          <w:b/>
          <w:bCs/>
        </w:rPr>
        <w:t>Materials and Methods</w:t>
      </w:r>
    </w:p>
    <w:p w14:paraId="1C224811" w14:textId="77777777"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 xml:space="preserve">This section delineates the proposed Bayesian framework for Dynamic Uncertainty-Weighted Fusion, specifically implemented and validated on the Indian financial market. The methodology is structured into four cohesive phases: (1) India-specific Multi-Source Data Collection and Preprocessing, (2) Source-Specific Predictive </w:t>
      </w:r>
      <w:proofErr w:type="spellStart"/>
      <w:r w:rsidRPr="00E23600">
        <w:rPr>
          <w:rFonts w:ascii="Times New Roman" w:hAnsi="Times New Roman" w:cs="Times New Roman"/>
          <w:sz w:val="20"/>
          <w:szCs w:val="20"/>
        </w:rPr>
        <w:t>Modeling</w:t>
      </w:r>
      <w:proofErr w:type="spellEnd"/>
      <w:r w:rsidRPr="00E23600">
        <w:rPr>
          <w:rFonts w:ascii="Times New Roman" w:hAnsi="Times New Roman" w:cs="Times New Roman"/>
          <w:sz w:val="20"/>
          <w:szCs w:val="20"/>
        </w:rPr>
        <w:t>, (3) the core Dynamic Uncertainty Quantification and Fusion mechanism, and (4) Model Training and Validation protocols.</w:t>
      </w:r>
    </w:p>
    <w:p w14:paraId="6A33713D" w14:textId="77777777" w:rsidR="0051091D" w:rsidRPr="0051091D" w:rsidRDefault="0051091D" w:rsidP="0051091D">
      <w:pPr>
        <w:pStyle w:val="NoSpacing"/>
        <w:jc w:val="both"/>
        <w:rPr>
          <w:rFonts w:ascii="Times New Roman" w:hAnsi="Times New Roman" w:cs="Times New Roman"/>
          <w:sz w:val="20"/>
          <w:szCs w:val="20"/>
        </w:rPr>
      </w:pPr>
    </w:p>
    <w:p w14:paraId="528C32C9" w14:textId="77777777" w:rsidR="0051091D" w:rsidRPr="0051091D" w:rsidRDefault="0051091D" w:rsidP="0051091D">
      <w:pPr>
        <w:pStyle w:val="NoSpacing"/>
        <w:jc w:val="both"/>
        <w:rPr>
          <w:rFonts w:ascii="Times New Roman" w:hAnsi="Times New Roman" w:cs="Times New Roman"/>
          <w:b/>
          <w:bCs/>
          <w:sz w:val="20"/>
          <w:szCs w:val="20"/>
        </w:rPr>
      </w:pPr>
      <w:r w:rsidRPr="0051091D">
        <w:rPr>
          <w:rFonts w:ascii="Times New Roman" w:hAnsi="Times New Roman" w:cs="Times New Roman"/>
          <w:b/>
          <w:bCs/>
          <w:sz w:val="20"/>
          <w:szCs w:val="20"/>
        </w:rPr>
        <w:t>3.1 Data Sources and Preprocessing</w:t>
      </w:r>
    </w:p>
    <w:p w14:paraId="67852BFF" w14:textId="77777777"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A heterogeneous dataset spanning January 2018 to December 2023 is constructed, focusing on the Nifty 50 index as the benchmark for the Indian equity market. The data comprises three distinct modalities, chosen for their relevance and availability in the Indian context:</w:t>
      </w:r>
    </w:p>
    <w:p w14:paraId="7AF5D3D0" w14:textId="77777777" w:rsidR="0051091D" w:rsidRPr="0051091D" w:rsidRDefault="0051091D" w:rsidP="0051091D">
      <w:pPr>
        <w:pStyle w:val="NoSpacing"/>
        <w:jc w:val="both"/>
        <w:rPr>
          <w:rFonts w:ascii="Times New Roman" w:hAnsi="Times New Roman" w:cs="Times New Roman"/>
          <w:sz w:val="20"/>
          <w:szCs w:val="20"/>
        </w:rPr>
      </w:pPr>
    </w:p>
    <w:p w14:paraId="43CBCE45" w14:textId="77777777" w:rsidR="0051091D" w:rsidRPr="0051091D" w:rsidRDefault="0051091D" w:rsidP="00E23600">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Structured Market Data (Source S1):</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Daily OHLCV data for the Nifty 50 index is sourced. A set of 15 technical indicators (e.g., RSI, MACD, Simple and Exponential Moving Averages) is calculated. Log returns are computed as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t-1</m:t>
            </m:r>
          </m:sub>
        </m:sSub>
        <m:r>
          <w:rPr>
            <w:rFonts w:ascii="Cambria Math" w:hAnsi="Cambria Math" w:cs="Times New Roman"/>
            <w:sz w:val="20"/>
            <w:szCs w:val="20"/>
          </w:rPr>
          <m:t>)</m:t>
        </m:r>
      </m:oMath>
      <w:r w:rsidR="00E23600" w:rsidRPr="00E23600">
        <w:rPr>
          <w:rFonts w:ascii="Times New Roman" w:hAnsi="Times New Roman" w:cs="Times New Roman"/>
          <w:sz w:val="20"/>
          <w:szCs w:val="20"/>
        </w:rPr>
        <w:t>, and missing values due to Indian market holidays (e.g., Diwali, Eid) are treated as genuine gaps, avoiding forward-filling to prevent artificial autocorrelation, a common oversight in existing literature [14], [34].</w:t>
      </w:r>
    </w:p>
    <w:p w14:paraId="7CB502B5" w14:textId="77777777" w:rsidR="0051091D" w:rsidRPr="0051091D" w:rsidRDefault="0051091D" w:rsidP="0051091D">
      <w:pPr>
        <w:pStyle w:val="NoSpacing"/>
        <w:jc w:val="both"/>
        <w:rPr>
          <w:rFonts w:ascii="Times New Roman" w:hAnsi="Times New Roman" w:cs="Times New Roman"/>
          <w:sz w:val="20"/>
          <w:szCs w:val="20"/>
        </w:rPr>
      </w:pPr>
    </w:p>
    <w:p w14:paraId="4735CB32" w14:textId="77777777" w:rsidR="0051091D" w:rsidRPr="0051091D" w:rsidRDefault="0051091D" w:rsidP="00E23600">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Unstructured Textual Data (Source S2):</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 xml:space="preserve">A corpus of English-language financial news headlines and articles from major Indian business publications (e.g., Economic Times, Business Standard) and newswires is collected. Sentiment analysis is performed using a </w:t>
      </w:r>
      <w:proofErr w:type="spellStart"/>
      <w:r w:rsidR="00E23600" w:rsidRPr="00E23600">
        <w:rPr>
          <w:rFonts w:ascii="Times New Roman" w:hAnsi="Times New Roman" w:cs="Times New Roman"/>
          <w:sz w:val="20"/>
          <w:szCs w:val="20"/>
        </w:rPr>
        <w:t>FinBERT</w:t>
      </w:r>
      <w:proofErr w:type="spellEnd"/>
      <w:r w:rsidR="00E23600" w:rsidRPr="00E23600">
        <w:rPr>
          <w:rFonts w:ascii="Times New Roman" w:hAnsi="Times New Roman" w:cs="Times New Roman"/>
          <w:sz w:val="20"/>
          <w:szCs w:val="20"/>
        </w:rPr>
        <w:t xml:space="preserve"> model [23], further fine-tuned on a dataset of Indian financial news to better capture nuances related to domestic events (e.g., Union Budget, RBI policy announcements, </w:t>
      </w:r>
      <w:r w:rsidR="00E23600" w:rsidRPr="00E23600">
        <w:rPr>
          <w:rFonts w:ascii="Times New Roman" w:hAnsi="Times New Roman" w:cs="Times New Roman"/>
          <w:sz w:val="20"/>
          <w:szCs w:val="20"/>
        </w:rPr>
        <w:lastRenderedPageBreak/>
        <w:t>monsoon forecasts). A daily composite sentiment score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∈[-1,+1]</m:t>
        </m:r>
      </m:oMath>
      <w:r w:rsidR="00E23600" w:rsidRPr="00E23600">
        <w:rPr>
          <w:rFonts w:ascii="Times New Roman" w:hAnsi="Times New Roman" w:cs="Times New Roman"/>
          <w:sz w:val="20"/>
          <w:szCs w:val="20"/>
        </w:rPr>
        <w:t> is generated. Following Jung and Jang [12], targeted numerical masking is applied to preserve critical quantitative context (e.g., "GDP growth at 7.8%").</w:t>
      </w:r>
    </w:p>
    <w:p w14:paraId="75C1174D" w14:textId="77777777" w:rsidR="0051091D" w:rsidRPr="0051091D" w:rsidRDefault="0051091D" w:rsidP="0051091D">
      <w:pPr>
        <w:pStyle w:val="NoSpacing"/>
        <w:jc w:val="both"/>
        <w:rPr>
          <w:rFonts w:ascii="Times New Roman" w:hAnsi="Times New Roman" w:cs="Times New Roman"/>
          <w:sz w:val="20"/>
          <w:szCs w:val="20"/>
        </w:rPr>
      </w:pPr>
    </w:p>
    <w:p w14:paraId="0BA7D285" w14:textId="77777777"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Alternative Data (Source S3):</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The India VIX, which measures the market's expectation of volatility over the near term, is incorporated. This serves as a potent alternative data source, directly quantifying market fear and uncertainty specific to the Indian environment, which is often influenced by both domestic and global factors (e.g., FII/DII flows, crude oil prices).</w:t>
      </w:r>
    </w:p>
    <w:p w14:paraId="4044015F" w14:textId="77777777" w:rsidR="0051091D" w:rsidRPr="0051091D" w:rsidRDefault="0051091D" w:rsidP="0051091D">
      <w:pPr>
        <w:pStyle w:val="NoSpacing"/>
        <w:jc w:val="both"/>
        <w:rPr>
          <w:rFonts w:ascii="Times New Roman" w:hAnsi="Times New Roman" w:cs="Times New Roman"/>
          <w:sz w:val="20"/>
          <w:szCs w:val="20"/>
        </w:rPr>
      </w:pPr>
    </w:p>
    <w:p w14:paraId="0BF5772D" w14:textId="77777777"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sz w:val="20"/>
          <w:szCs w:val="20"/>
        </w:rPr>
        <w:t xml:space="preserve">A critical step is temporal alignment. </w:t>
      </w:r>
      <w:r w:rsidR="00E23600" w:rsidRPr="00E23600">
        <w:rPr>
          <w:rFonts w:ascii="Times New Roman" w:hAnsi="Times New Roman" w:cs="Times New Roman"/>
          <w:sz w:val="20"/>
          <w:szCs w:val="20"/>
        </w:rPr>
        <w:t>News articles are timestamped and their sentiment scores are assigned to the next trading day's open on the National Stock Exchange (NSE) to accurately capture the lagged market impact. All data streams are aligned to the NSE trading calendar.</w:t>
      </w:r>
    </w:p>
    <w:p w14:paraId="62E9AEC5" w14:textId="77777777" w:rsidR="0051091D" w:rsidRPr="0051091D" w:rsidRDefault="0051091D" w:rsidP="0051091D">
      <w:pPr>
        <w:pStyle w:val="NoSpacing"/>
        <w:jc w:val="both"/>
        <w:rPr>
          <w:rFonts w:ascii="Times New Roman" w:hAnsi="Times New Roman" w:cs="Times New Roman"/>
          <w:sz w:val="20"/>
          <w:szCs w:val="20"/>
        </w:rPr>
      </w:pPr>
    </w:p>
    <w:p w14:paraId="39E2A8F6" w14:textId="77777777"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b/>
          <w:bCs/>
          <w:sz w:val="20"/>
          <w:szCs w:val="20"/>
        </w:rPr>
        <w:t>Distribution-Aware Normalization:</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To prevent any single source from dominating the model, source-specific scaling is applied on an expanding window basis to prevent look-ahead bias. Nifty 50 log returns are standardized using a rolling StandardScaler. Sentiment scores are scaled to the </w:t>
      </w:r>
      <m:oMath>
        <m:r>
          <w:rPr>
            <w:rFonts w:ascii="Cambria Math" w:hAnsi="Cambria Math" w:cs="Times New Roman"/>
            <w:sz w:val="20"/>
            <w:szCs w:val="20"/>
          </w:rPr>
          <m:t>[-1,+1]</m:t>
        </m:r>
      </m:oMath>
      <w:r w:rsidR="00E23600" w:rsidRPr="00E23600">
        <w:rPr>
          <w:rFonts w:ascii="Times New Roman" w:hAnsi="Times New Roman" w:cs="Times New Roman"/>
          <w:sz w:val="20"/>
          <w:szCs w:val="20"/>
        </w:rPr>
        <w:t> range using a rolling </w:t>
      </w:r>
      <w:proofErr w:type="spellStart"/>
      <w:r w:rsidR="00E23600" w:rsidRPr="00E23600">
        <w:rPr>
          <w:rFonts w:ascii="Times New Roman" w:hAnsi="Times New Roman" w:cs="Times New Roman"/>
          <w:sz w:val="20"/>
          <w:szCs w:val="20"/>
        </w:rPr>
        <w:t>MinMaxScaler</w:t>
      </w:r>
      <w:proofErr w:type="spellEnd"/>
      <w:r w:rsidR="00E23600" w:rsidRPr="00E23600">
        <w:rPr>
          <w:rFonts w:ascii="Times New Roman" w:hAnsi="Times New Roman" w:cs="Times New Roman"/>
          <w:sz w:val="20"/>
          <w:szCs w:val="20"/>
        </w:rPr>
        <w:t>. The India VIX, being inherently volatile and heavy-tailed, is normalized using a </w:t>
      </w:r>
      <w:proofErr w:type="spellStart"/>
      <w:r w:rsidR="00E23600" w:rsidRPr="00E23600">
        <w:rPr>
          <w:rFonts w:ascii="Times New Roman" w:hAnsi="Times New Roman" w:cs="Times New Roman"/>
          <w:sz w:val="20"/>
          <w:szCs w:val="20"/>
        </w:rPr>
        <w:t>RobustScaler</w:t>
      </w:r>
      <w:proofErr w:type="spellEnd"/>
      <w:r w:rsidR="00E23600" w:rsidRPr="00E23600">
        <w:rPr>
          <w:rFonts w:ascii="Times New Roman" w:hAnsi="Times New Roman" w:cs="Times New Roman"/>
          <w:sz w:val="20"/>
          <w:szCs w:val="20"/>
        </w:rPr>
        <w:t>. All scalers are fit exclusively on the training data.</w:t>
      </w:r>
    </w:p>
    <w:p w14:paraId="4778C6B3" w14:textId="77777777" w:rsidR="0051091D" w:rsidRPr="0051091D" w:rsidRDefault="0051091D" w:rsidP="0051091D">
      <w:pPr>
        <w:pStyle w:val="NoSpacing"/>
        <w:jc w:val="both"/>
        <w:rPr>
          <w:rFonts w:ascii="Times New Roman" w:hAnsi="Times New Roman" w:cs="Times New Roman"/>
          <w:sz w:val="20"/>
          <w:szCs w:val="20"/>
        </w:rPr>
      </w:pPr>
    </w:p>
    <w:p w14:paraId="7F6B98FD" w14:textId="77777777" w:rsidR="0051091D" w:rsidRPr="0051091D" w:rsidRDefault="0051091D" w:rsidP="0051091D">
      <w:pPr>
        <w:pStyle w:val="NoSpacing"/>
        <w:jc w:val="both"/>
        <w:rPr>
          <w:rFonts w:ascii="Times New Roman" w:hAnsi="Times New Roman" w:cs="Times New Roman"/>
          <w:b/>
          <w:bCs/>
          <w:sz w:val="20"/>
          <w:szCs w:val="20"/>
        </w:rPr>
      </w:pPr>
      <w:r w:rsidRPr="0051091D">
        <w:rPr>
          <w:rFonts w:ascii="Times New Roman" w:hAnsi="Times New Roman" w:cs="Times New Roman"/>
          <w:b/>
          <w:bCs/>
          <w:sz w:val="20"/>
          <w:szCs w:val="20"/>
        </w:rPr>
        <w:t xml:space="preserve">3.2 Source-Specific Predictive </w:t>
      </w:r>
      <w:proofErr w:type="spellStart"/>
      <w:r w:rsidRPr="0051091D">
        <w:rPr>
          <w:rFonts w:ascii="Times New Roman" w:hAnsi="Times New Roman" w:cs="Times New Roman"/>
          <w:b/>
          <w:bCs/>
          <w:sz w:val="20"/>
          <w:szCs w:val="20"/>
        </w:rPr>
        <w:t>Modeling</w:t>
      </w:r>
      <w:proofErr w:type="spellEnd"/>
    </w:p>
    <w:p w14:paraId="5DD92B8D" w14:textId="77777777"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Three separate expert networks are employed to model each data source, capturing their unique temporal characteristics relevant to the Indian market.</w:t>
      </w:r>
    </w:p>
    <w:p w14:paraId="6F68B3FC" w14:textId="77777777" w:rsidR="0051091D" w:rsidRPr="0051091D" w:rsidRDefault="0051091D" w:rsidP="0051091D">
      <w:pPr>
        <w:pStyle w:val="NoSpacing"/>
        <w:jc w:val="both"/>
        <w:rPr>
          <w:rFonts w:ascii="Times New Roman" w:hAnsi="Times New Roman" w:cs="Times New Roman"/>
          <w:sz w:val="20"/>
          <w:szCs w:val="20"/>
        </w:rPr>
      </w:pPr>
    </w:p>
    <w:p w14:paraId="1ECDBCBD" w14:textId="77777777" w:rsidR="0051091D" w:rsidRPr="0051091D" w:rsidRDefault="0051091D" w:rsidP="0051091D">
      <w:pPr>
        <w:pStyle w:val="NoSpacing"/>
        <w:jc w:val="both"/>
        <w:rPr>
          <w:rFonts w:ascii="Times New Roman" w:hAnsi="Times New Roman" w:cs="Times New Roman"/>
          <w:sz w:val="20"/>
          <w:szCs w:val="20"/>
        </w:rPr>
      </w:pPr>
      <w:r w:rsidRPr="0051091D">
        <w:rPr>
          <w:rFonts w:ascii="Times New Roman" w:hAnsi="Times New Roman" w:cs="Times New Roman"/>
          <w:sz w:val="20"/>
          <w:szCs w:val="20"/>
        </w:rPr>
        <w:t xml:space="preserve">Market Data Model </w:t>
      </w:r>
      <w:r w:rsidR="00801D42">
        <w:rPr>
          <w:rFonts w:ascii="Times New Roman" w:hAnsi="Times New Roman" w:cs="Times New Roman"/>
          <w:sz w:val="20"/>
          <w:szCs w:val="20"/>
        </w:rPr>
        <w:t>(</w:t>
      </w:r>
      <w:proofErr w:type="spellStart"/>
      <w:r w:rsidR="00801D42" w:rsidRPr="00801D42">
        <w:rPr>
          <w:rFonts w:ascii="Times New Roman" w:hAnsi="Times New Roman" w:cs="Times New Roman"/>
          <w:sz w:val="20"/>
          <w:szCs w:val="20"/>
        </w:rPr>
        <w:t>f</w:t>
      </w:r>
      <w:r w:rsidR="00801D42" w:rsidRPr="00801D42">
        <w:rPr>
          <w:rFonts w:ascii="Times New Roman" w:hAnsi="Times New Roman" w:cs="Times New Roman"/>
          <w:sz w:val="20"/>
          <w:szCs w:val="20"/>
          <w:vertAlign w:val="subscript"/>
        </w:rPr>
        <w:t>M</w:t>
      </w:r>
      <w:proofErr w:type="spellEnd"/>
      <w:r w:rsidR="00801D42">
        <w:rPr>
          <w:rFonts w:ascii="Times New Roman" w:hAnsi="Times New Roman" w:cs="Times New Roman"/>
          <w:sz w:val="20"/>
          <w:szCs w:val="20"/>
        </w:rPr>
        <w:t>)</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A Gated Recurrent Unit (GRU) network [11] is chosen for its efficiency in capturing temporal dependencies in the Nifty 50's price series. The input is a window of the last </w:t>
      </w:r>
      <m:oMath>
        <m:r>
          <w:rPr>
            <w:rFonts w:ascii="Cambria Math" w:hAnsi="Cambria Math" w:cs="Times New Roman"/>
            <w:sz w:val="20"/>
            <w:szCs w:val="20"/>
          </w:rPr>
          <m:t>L=20</m:t>
        </m:r>
      </m:oMath>
      <w:r w:rsidR="00E23600" w:rsidRPr="00E23600">
        <w:rPr>
          <w:rFonts w:ascii="Times New Roman" w:hAnsi="Times New Roman" w:cs="Times New Roman"/>
          <w:sz w:val="20"/>
          <w:szCs w:val="20"/>
        </w:rPr>
        <w:t> days of normalized technical indicators and log returns. The final hidden state produces a point prediction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M,t</m:t>
            </m:r>
          </m:sub>
        </m:sSub>
      </m:oMath>
      <w:r w:rsidR="00E23600" w:rsidRPr="00E23600">
        <w:rPr>
          <w:rFonts w:ascii="Times New Roman" w:hAnsi="Times New Roman" w:cs="Times New Roman"/>
          <w:sz w:val="20"/>
          <w:szCs w:val="20"/>
        </w:rPr>
        <w:t> for the next day's log return.</w:t>
      </w:r>
    </w:p>
    <w:p w14:paraId="55CE719B" w14:textId="77777777" w:rsidR="0051091D" w:rsidRPr="0051091D" w:rsidRDefault="0051091D" w:rsidP="0051091D">
      <w:pPr>
        <w:pStyle w:val="NoSpacing"/>
        <w:jc w:val="both"/>
        <w:rPr>
          <w:rFonts w:ascii="Times New Roman" w:hAnsi="Times New Roman" w:cs="Times New Roman"/>
          <w:sz w:val="20"/>
          <w:szCs w:val="20"/>
        </w:rPr>
      </w:pPr>
    </w:p>
    <w:p w14:paraId="6BE92411" w14:textId="77777777" w:rsidR="0051091D" w:rsidRPr="0051091D" w:rsidRDefault="0051091D" w:rsidP="00801D42">
      <w:pPr>
        <w:pStyle w:val="NoSpacing"/>
        <w:jc w:val="both"/>
        <w:rPr>
          <w:rFonts w:ascii="Times New Roman" w:hAnsi="Times New Roman" w:cs="Times New Roman"/>
          <w:sz w:val="20"/>
          <w:szCs w:val="20"/>
        </w:rPr>
      </w:pPr>
      <w:r w:rsidRPr="0051091D">
        <w:rPr>
          <w:rFonts w:ascii="Times New Roman" w:hAnsi="Times New Roman" w:cs="Times New Roman"/>
          <w:sz w:val="20"/>
          <w:szCs w:val="20"/>
        </w:rPr>
        <w:t>Sentiment Data Model (</w:t>
      </w:r>
      <w:proofErr w:type="spellStart"/>
      <w:r w:rsidRPr="0051091D">
        <w:rPr>
          <w:rFonts w:ascii="Times New Roman" w:hAnsi="Times New Roman" w:cs="Times New Roman"/>
          <w:sz w:val="20"/>
          <w:szCs w:val="20"/>
        </w:rPr>
        <w:t>f</w:t>
      </w:r>
      <w:r w:rsidRPr="00801D42">
        <w:rPr>
          <w:rFonts w:ascii="Times New Roman" w:hAnsi="Times New Roman" w:cs="Times New Roman"/>
          <w:sz w:val="20"/>
          <w:szCs w:val="20"/>
          <w:vertAlign w:val="subscript"/>
        </w:rPr>
        <w:t>S</w:t>
      </w:r>
      <w:proofErr w:type="spellEnd"/>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A Transformer encoder architecture [23], [35] is utilized to model the sequential context of daily sentiment scores, which is crucial for capturing the prolonged impact of multi-day news cycles (e.g., earnings season, election news). The input is the sequence of sentiment scores over the same </w:t>
      </w:r>
      <m:oMath>
        <m:r>
          <w:rPr>
            <w:rFonts w:ascii="Cambria Math" w:hAnsi="Cambria Math" w:cs="Times New Roman"/>
            <w:sz w:val="20"/>
            <w:szCs w:val="20"/>
          </w:rPr>
          <m:t>L=20</m:t>
        </m:r>
      </m:oMath>
      <w:r w:rsidR="00E23600" w:rsidRPr="00E23600">
        <w:rPr>
          <w:rFonts w:ascii="Times New Roman" w:hAnsi="Times New Roman" w:cs="Times New Roman"/>
          <w:sz w:val="20"/>
          <w:szCs w:val="20"/>
        </w:rPr>
        <w:t> day window. The output is fed to a regression head to produce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S,t</m:t>
            </m:r>
          </m:sub>
        </m:sSub>
      </m:oMath>
      <w:r w:rsidR="00E23600" w:rsidRPr="00E23600">
        <w:rPr>
          <w:rFonts w:ascii="Times New Roman" w:hAnsi="Times New Roman" w:cs="Times New Roman"/>
          <w:sz w:val="20"/>
          <w:szCs w:val="20"/>
        </w:rPr>
        <w:t>.</w:t>
      </w:r>
    </w:p>
    <w:p w14:paraId="6A199B6E" w14:textId="77777777" w:rsidR="0051091D" w:rsidRPr="0051091D" w:rsidRDefault="0051091D" w:rsidP="0051091D">
      <w:pPr>
        <w:pStyle w:val="NoSpacing"/>
        <w:jc w:val="both"/>
        <w:rPr>
          <w:rFonts w:ascii="Times New Roman" w:hAnsi="Times New Roman" w:cs="Times New Roman"/>
          <w:sz w:val="20"/>
          <w:szCs w:val="20"/>
        </w:rPr>
      </w:pPr>
    </w:p>
    <w:p w14:paraId="736CC385" w14:textId="77777777" w:rsidR="0051091D" w:rsidRPr="0051091D" w:rsidRDefault="0051091D" w:rsidP="00801D42">
      <w:pPr>
        <w:pStyle w:val="NoSpacing"/>
        <w:jc w:val="both"/>
        <w:rPr>
          <w:rFonts w:ascii="Times New Roman" w:hAnsi="Times New Roman" w:cs="Times New Roman"/>
          <w:sz w:val="20"/>
          <w:szCs w:val="20"/>
        </w:rPr>
      </w:pPr>
      <w:r w:rsidRPr="0051091D">
        <w:rPr>
          <w:rFonts w:ascii="Times New Roman" w:hAnsi="Times New Roman" w:cs="Times New Roman"/>
          <w:sz w:val="20"/>
          <w:szCs w:val="20"/>
        </w:rPr>
        <w:t>Alternative Data Model (</w:t>
      </w:r>
      <w:proofErr w:type="spellStart"/>
      <w:r w:rsidRPr="0051091D">
        <w:rPr>
          <w:rFonts w:ascii="Times New Roman" w:hAnsi="Times New Roman" w:cs="Times New Roman"/>
          <w:sz w:val="20"/>
          <w:szCs w:val="20"/>
        </w:rPr>
        <w:t>f</w:t>
      </w:r>
      <w:r w:rsidRPr="00801D42">
        <w:rPr>
          <w:rFonts w:ascii="Times New Roman" w:hAnsi="Times New Roman" w:cs="Times New Roman"/>
          <w:sz w:val="20"/>
          <w:szCs w:val="20"/>
          <w:vertAlign w:val="subscript"/>
        </w:rPr>
        <w:t>A</w:t>
      </w:r>
      <w:proofErr w:type="spellEnd"/>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A Multi-Layer Perceptron (MLP) is used to model the relationship between the India VIX and Nifty 50 returns. It takes the last </w:t>
      </w:r>
      <m:oMath>
        <m:r>
          <w:rPr>
            <w:rFonts w:ascii="Cambria Math" w:hAnsi="Cambria Math" w:cs="Times New Roman"/>
            <w:sz w:val="20"/>
            <w:szCs w:val="20"/>
          </w:rPr>
          <m:t>L=20</m:t>
        </m:r>
      </m:oMath>
      <w:r w:rsidR="00E23600" w:rsidRPr="00E23600">
        <w:rPr>
          <w:rFonts w:ascii="Times New Roman" w:hAnsi="Times New Roman" w:cs="Times New Roman"/>
          <w:sz w:val="20"/>
          <w:szCs w:val="20"/>
        </w:rPr>
        <w:t> days of normalized India VIX values as input to produce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A,t</m:t>
            </m:r>
          </m:sub>
        </m:sSub>
      </m:oMath>
      <w:r w:rsidR="00E23600" w:rsidRPr="00E23600">
        <w:rPr>
          <w:rFonts w:ascii="Times New Roman" w:hAnsi="Times New Roman" w:cs="Times New Roman"/>
          <w:sz w:val="20"/>
          <w:szCs w:val="20"/>
        </w:rPr>
        <w:t>.</w:t>
      </w:r>
    </w:p>
    <w:p w14:paraId="2E95A91F" w14:textId="77777777" w:rsidR="0051091D" w:rsidRPr="0051091D" w:rsidRDefault="0051091D" w:rsidP="0051091D">
      <w:pPr>
        <w:pStyle w:val="NoSpacing"/>
        <w:jc w:val="both"/>
        <w:rPr>
          <w:rFonts w:ascii="Times New Roman" w:hAnsi="Times New Roman" w:cs="Times New Roman"/>
          <w:sz w:val="20"/>
          <w:szCs w:val="20"/>
        </w:rPr>
      </w:pPr>
    </w:p>
    <w:p w14:paraId="3E85E201" w14:textId="77777777" w:rsidR="0051091D" w:rsidRPr="00801D42" w:rsidRDefault="0051091D" w:rsidP="0051091D">
      <w:pPr>
        <w:pStyle w:val="NoSpacing"/>
        <w:jc w:val="both"/>
        <w:rPr>
          <w:rFonts w:ascii="Times New Roman" w:hAnsi="Times New Roman" w:cs="Times New Roman"/>
          <w:b/>
          <w:bCs/>
          <w:sz w:val="20"/>
          <w:szCs w:val="20"/>
        </w:rPr>
      </w:pPr>
      <w:r w:rsidRPr="00801D42">
        <w:rPr>
          <w:rFonts w:ascii="Times New Roman" w:hAnsi="Times New Roman" w:cs="Times New Roman"/>
          <w:b/>
          <w:bCs/>
          <w:sz w:val="20"/>
          <w:szCs w:val="20"/>
        </w:rPr>
        <w:t>3.3 Dynamic Uncertainty-Weighted Fusion Framework</w:t>
      </w:r>
    </w:p>
    <w:p w14:paraId="313C0EBD" w14:textId="77777777" w:rsidR="0051091D" w:rsidRPr="0051091D" w:rsidRDefault="00E23600" w:rsidP="0051091D">
      <w:pPr>
        <w:pStyle w:val="NoSpacing"/>
        <w:jc w:val="both"/>
        <w:rPr>
          <w:rFonts w:ascii="Times New Roman" w:hAnsi="Times New Roman" w:cs="Times New Roman"/>
          <w:sz w:val="20"/>
          <w:szCs w:val="20"/>
        </w:rPr>
      </w:pPr>
      <w:r w:rsidRPr="00E23600">
        <w:rPr>
          <w:rFonts w:ascii="Times New Roman" w:hAnsi="Times New Roman" w:cs="Times New Roman"/>
          <w:sz w:val="20"/>
          <w:szCs w:val="20"/>
        </w:rPr>
        <w:t>This module is the novel core of the proposed methodology, designed to adapt to the specific volatility and regime shifts of the Indian market.</w:t>
      </w:r>
    </w:p>
    <w:p w14:paraId="680E4259" w14:textId="77777777" w:rsidR="0051091D" w:rsidRPr="0051091D" w:rsidRDefault="0051091D" w:rsidP="0051091D">
      <w:pPr>
        <w:pStyle w:val="NoSpacing"/>
        <w:jc w:val="both"/>
        <w:rPr>
          <w:rFonts w:ascii="Times New Roman" w:hAnsi="Times New Roman" w:cs="Times New Roman"/>
          <w:sz w:val="20"/>
          <w:szCs w:val="20"/>
        </w:rPr>
      </w:pPr>
    </w:p>
    <w:p w14:paraId="06143A6F" w14:textId="77777777" w:rsidR="00E23600" w:rsidRPr="00E23600" w:rsidRDefault="0051091D" w:rsidP="00E23600">
      <w:pPr>
        <w:pStyle w:val="NoSpacing"/>
        <w:jc w:val="both"/>
        <w:rPr>
          <w:rFonts w:ascii="Times New Roman" w:hAnsi="Times New Roman" w:cs="Times New Roman"/>
          <w:sz w:val="20"/>
          <w:szCs w:val="20"/>
        </w:rPr>
      </w:pPr>
      <w:r w:rsidRPr="00801D42">
        <w:rPr>
          <w:rFonts w:ascii="Times New Roman" w:hAnsi="Times New Roman" w:cs="Times New Roman"/>
          <w:b/>
          <w:bCs/>
          <w:sz w:val="20"/>
          <w:szCs w:val="20"/>
        </w:rPr>
        <w:t>Uncertainty Quantification:</w:t>
      </w:r>
      <w:r w:rsidRPr="0051091D">
        <w:rPr>
          <w:rFonts w:ascii="Times New Roman" w:hAnsi="Times New Roman" w:cs="Times New Roman"/>
          <w:sz w:val="20"/>
          <w:szCs w:val="20"/>
        </w:rPr>
        <w:t xml:space="preserve"> </w:t>
      </w:r>
      <w:r w:rsidR="00E23600" w:rsidRPr="00E23600">
        <w:rPr>
          <w:rFonts w:ascii="Times New Roman" w:hAnsi="Times New Roman" w:cs="Times New Roman"/>
          <w:sz w:val="20"/>
          <w:szCs w:val="20"/>
        </w:rPr>
        <w:t>For each source </w:t>
      </w:r>
      <m:oMath>
        <m:r>
          <w:rPr>
            <w:rFonts w:ascii="Cambria Math" w:hAnsi="Cambria Math" w:cs="Times New Roman"/>
            <w:sz w:val="20"/>
            <w:szCs w:val="20"/>
          </w:rPr>
          <m:t>i∈{M,S,A}</m:t>
        </m:r>
      </m:oMath>
      <w:r w:rsidR="00E23600" w:rsidRPr="00E23600">
        <w:rPr>
          <w:rFonts w:ascii="Times New Roman" w:hAnsi="Times New Roman" w:cs="Times New Roman"/>
          <w:sz w:val="20"/>
          <w:szCs w:val="20"/>
        </w:rPr>
        <w:t> at time </w:t>
      </w:r>
      <m:oMath>
        <m:r>
          <w:rPr>
            <w:rFonts w:ascii="Cambria Math" w:hAnsi="Cambria Math" w:cs="Times New Roman"/>
            <w:sz w:val="20"/>
            <w:szCs w:val="20"/>
          </w:rPr>
          <m:t>t</m:t>
        </m:r>
      </m:oMath>
      <w:r w:rsidR="00E23600" w:rsidRPr="00E23600">
        <w:rPr>
          <w:rFonts w:ascii="Times New Roman" w:hAnsi="Times New Roman" w:cs="Times New Roman"/>
          <w:sz w:val="20"/>
          <w:szCs w:val="20"/>
        </w:rPr>
        <w:t>, the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oMath>
      <w:r w:rsidR="00E23600" w:rsidRPr="00E23600">
        <w:rPr>
          <w:rFonts w:ascii="Times New Roman" w:hAnsi="Times New Roman" w:cs="Times New Roman"/>
          <w:sz w:val="20"/>
          <w:szCs w:val="20"/>
        </w:rPr>
        <w:t> is estimated using the variance of the source's prediction errors over a recent lookback window of </w:t>
      </w:r>
      <m:oMath>
        <m:r>
          <w:rPr>
            <w:rFonts w:ascii="Cambria Math" w:hAnsi="Cambria Math" w:cs="Times New Roman"/>
            <w:sz w:val="20"/>
            <w:szCs w:val="20"/>
          </w:rPr>
          <m:t>τ=10</m:t>
        </m:r>
      </m:oMath>
      <w:r w:rsidR="00E23600" w:rsidRPr="00E23600">
        <w:rPr>
          <w:rFonts w:ascii="Times New Roman" w:hAnsi="Times New Roman" w:cs="Times New Roman"/>
          <w:sz w:val="20"/>
          <w:szCs w:val="20"/>
        </w:rPr>
        <w:t> days.</w:t>
      </w:r>
    </w:p>
    <w:p w14:paraId="51126F97" w14:textId="77777777" w:rsidR="00DD739F" w:rsidRDefault="00DD739F" w:rsidP="00E23600">
      <w:pPr>
        <w:pStyle w:val="NoSpacing"/>
        <w:jc w:val="both"/>
        <w:rPr>
          <w:rFonts w:ascii="Times New Roman" w:hAnsi="Times New Roman" w:cs="Times New Roman"/>
          <w:sz w:val="20"/>
          <w:szCs w:val="20"/>
        </w:rPr>
      </w:pPr>
    </w:p>
    <w:p w14:paraId="4B4FE7B2" w14:textId="77777777" w:rsidR="00E23600" w:rsidRPr="00E23600" w:rsidRDefault="00DD739F" w:rsidP="00DD739F">
      <w:pPr>
        <w:pStyle w:val="NoSpacing"/>
        <w:jc w:val="center"/>
        <w:rPr>
          <w:rFonts w:ascii="Times New Roman" w:hAnsi="Times New Roman" w:cs="Times New Roman"/>
          <w:sz w:val="20"/>
          <w:szCs w:val="20"/>
        </w:rPr>
      </w:pPr>
      <w:r w:rsidRPr="00DD739F">
        <w:rPr>
          <w:rFonts w:ascii="Times New Roman" w:hAnsi="Times New Roman" w:cs="Times New Roman"/>
          <w:noProof/>
          <w:sz w:val="20"/>
          <w:szCs w:val="20"/>
        </w:rPr>
        <w:drawing>
          <wp:inline distT="0" distB="0" distL="0" distR="0" wp14:anchorId="7FD950B5" wp14:editId="1B06A46F">
            <wp:extent cx="2301439" cy="632515"/>
            <wp:effectExtent l="0" t="0" r="3810" b="0"/>
            <wp:docPr id="537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723" name=""/>
                    <pic:cNvPicPr/>
                  </pic:nvPicPr>
                  <pic:blipFill>
                    <a:blip r:embed="rId5"/>
                    <a:stretch>
                      <a:fillRect/>
                    </a:stretch>
                  </pic:blipFill>
                  <pic:spPr>
                    <a:xfrm>
                      <a:off x="0" y="0"/>
                      <a:ext cx="2301439" cy="632515"/>
                    </a:xfrm>
                    <a:prstGeom prst="rect">
                      <a:avLst/>
                    </a:prstGeom>
                  </pic:spPr>
                </pic:pic>
              </a:graphicData>
            </a:graphic>
          </wp:inline>
        </w:drawing>
      </w:r>
      <w:r w:rsidR="00E23600" w:rsidRPr="00E23600">
        <w:rPr>
          <w:rFonts w:ascii="Times New Roman" w:hAnsi="Times New Roman" w:cs="Times New Roman"/>
          <w:sz w:val="20"/>
          <w:szCs w:val="20"/>
        </w:rPr>
        <w:br/>
      </w:r>
    </w:p>
    <w:p w14:paraId="53786A75" w14:textId="77777777" w:rsidR="00E23600" w:rsidRPr="00E23600" w:rsidRDefault="00DD739F" w:rsidP="00E23600">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This provides a time-varying, empirical measure of each model's recent performance volatility, serving as a proxy for its predictive confidence. During high-volatility periods in India (e.g., post-budget, global risk-off events), uncertainties for all sources may rise, but the framework will identify the relatively most reliable one.</w:t>
      </w:r>
    </w:p>
    <w:p w14:paraId="4D98FFB1" w14:textId="77777777" w:rsidR="0051091D" w:rsidRPr="0051091D" w:rsidRDefault="0051091D" w:rsidP="00E23600">
      <w:pPr>
        <w:pStyle w:val="NoSpacing"/>
        <w:jc w:val="both"/>
        <w:rPr>
          <w:rFonts w:ascii="Times New Roman" w:hAnsi="Times New Roman" w:cs="Times New Roman"/>
          <w:sz w:val="20"/>
          <w:szCs w:val="20"/>
        </w:rPr>
      </w:pPr>
    </w:p>
    <w:p w14:paraId="01960671" w14:textId="77777777" w:rsidR="0051091D" w:rsidRDefault="0051091D" w:rsidP="0051091D">
      <w:pPr>
        <w:pStyle w:val="NoSpacing"/>
        <w:jc w:val="both"/>
        <w:rPr>
          <w:rFonts w:ascii="Times New Roman" w:hAnsi="Times New Roman" w:cs="Times New Roman"/>
          <w:sz w:val="20"/>
          <w:szCs w:val="20"/>
        </w:rPr>
      </w:pPr>
      <w:r w:rsidRPr="00801D42">
        <w:rPr>
          <w:rFonts w:ascii="Times New Roman" w:hAnsi="Times New Roman" w:cs="Times New Roman"/>
          <w:b/>
          <w:bCs/>
          <w:sz w:val="20"/>
          <w:szCs w:val="20"/>
        </w:rPr>
        <w:t>Bayesian Dynamic Weighting:</w:t>
      </w:r>
      <w:r w:rsidRPr="0051091D">
        <w:rPr>
          <w:rFonts w:ascii="Times New Roman" w:hAnsi="Times New Roman" w:cs="Times New Roman"/>
          <w:sz w:val="20"/>
          <w:szCs w:val="20"/>
        </w:rPr>
        <w:t xml:space="preserve"> </w:t>
      </w:r>
      <w:r w:rsidR="00DD739F" w:rsidRPr="00DD739F">
        <w:rPr>
          <w:rFonts w:ascii="Times New Roman" w:hAnsi="Times New Roman" w:cs="Times New Roman"/>
          <w:sz w:val="20"/>
          <w:szCs w:val="20"/>
        </w:rPr>
        <w:t>The fusion weight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oMath>
      <w:r w:rsidR="00DD739F" w:rsidRPr="00DD739F">
        <w:rPr>
          <w:rFonts w:ascii="Times New Roman" w:hAnsi="Times New Roman" w:cs="Times New Roman"/>
          <w:sz w:val="20"/>
          <w:szCs w:val="20"/>
        </w:rPr>
        <w:t> for source </w:t>
      </w:r>
      <m:oMath>
        <m:r>
          <w:rPr>
            <w:rFonts w:ascii="Cambria Math" w:hAnsi="Cambria Math" w:cs="Times New Roman"/>
            <w:sz w:val="20"/>
            <w:szCs w:val="20"/>
          </w:rPr>
          <m:t>i</m:t>
        </m:r>
      </m:oMath>
      <w:r w:rsidR="00DD739F" w:rsidRPr="00DD739F">
        <w:rPr>
          <w:rFonts w:ascii="Times New Roman" w:hAnsi="Times New Roman" w:cs="Times New Roman"/>
          <w:sz w:val="20"/>
          <w:szCs w:val="20"/>
        </w:rPr>
        <w:t> at time </w:t>
      </w:r>
      <m:oMath>
        <m:r>
          <w:rPr>
            <w:rFonts w:ascii="Cambria Math" w:hAnsi="Cambria Math" w:cs="Times New Roman"/>
            <w:sz w:val="20"/>
            <w:szCs w:val="20"/>
          </w:rPr>
          <m:t>t</m:t>
        </m:r>
      </m:oMath>
      <w:r w:rsidR="00DD739F" w:rsidRPr="00DD739F">
        <w:rPr>
          <w:rFonts w:ascii="Times New Roman" w:hAnsi="Times New Roman" w:cs="Times New Roman"/>
          <w:sz w:val="20"/>
          <w:szCs w:val="20"/>
        </w:rPr>
        <w:t xml:space="preserve"> is derived by applying a </w:t>
      </w:r>
      <w:proofErr w:type="spellStart"/>
      <w:r w:rsidR="00DD739F" w:rsidRPr="00DD739F">
        <w:rPr>
          <w:rFonts w:ascii="Times New Roman" w:hAnsi="Times New Roman" w:cs="Times New Roman"/>
          <w:sz w:val="20"/>
          <w:szCs w:val="20"/>
        </w:rPr>
        <w:t>softmax</w:t>
      </w:r>
      <w:proofErr w:type="spellEnd"/>
      <w:r w:rsidR="00DD739F" w:rsidRPr="00DD739F">
        <w:rPr>
          <w:rFonts w:ascii="Times New Roman" w:hAnsi="Times New Roman" w:cs="Times New Roman"/>
          <w:sz w:val="20"/>
          <w:szCs w:val="20"/>
        </w:rPr>
        <w:t xml:space="preserve"> function over the negative uncertainties:</w:t>
      </w:r>
    </w:p>
    <w:p w14:paraId="7381C80F" w14:textId="77777777" w:rsidR="00440098" w:rsidRDefault="00440098" w:rsidP="0051091D">
      <w:pPr>
        <w:pStyle w:val="NoSpacing"/>
        <w:jc w:val="both"/>
        <w:rPr>
          <w:rFonts w:ascii="Times New Roman" w:hAnsi="Times New Roman" w:cs="Times New Roman"/>
          <w:sz w:val="20"/>
          <w:szCs w:val="20"/>
        </w:rPr>
      </w:pPr>
    </w:p>
    <w:p w14:paraId="54E4CB54" w14:textId="77777777" w:rsidR="00440098" w:rsidRPr="0051091D" w:rsidRDefault="00DD739F" w:rsidP="00440098">
      <w:pPr>
        <w:pStyle w:val="NoSpacing"/>
        <w:jc w:val="center"/>
        <w:rPr>
          <w:rFonts w:ascii="Times New Roman" w:hAnsi="Times New Roman" w:cs="Times New Roman"/>
          <w:sz w:val="20"/>
          <w:szCs w:val="20"/>
        </w:rPr>
      </w:pPr>
      <w:r w:rsidRPr="00DD739F">
        <w:rPr>
          <w:rFonts w:ascii="Times New Roman" w:hAnsi="Times New Roman" w:cs="Times New Roman"/>
          <w:noProof/>
          <w:sz w:val="20"/>
          <w:szCs w:val="20"/>
        </w:rPr>
        <w:drawing>
          <wp:inline distT="0" distB="0" distL="0" distR="0" wp14:anchorId="312B5BAD" wp14:editId="59BEA393">
            <wp:extent cx="2834886" cy="647756"/>
            <wp:effectExtent l="0" t="0" r="3810" b="0"/>
            <wp:docPr id="162333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36484" name=""/>
                    <pic:cNvPicPr/>
                  </pic:nvPicPr>
                  <pic:blipFill>
                    <a:blip r:embed="rId6"/>
                    <a:stretch>
                      <a:fillRect/>
                    </a:stretch>
                  </pic:blipFill>
                  <pic:spPr>
                    <a:xfrm>
                      <a:off x="0" y="0"/>
                      <a:ext cx="2834886" cy="647756"/>
                    </a:xfrm>
                    <a:prstGeom prst="rect">
                      <a:avLst/>
                    </a:prstGeom>
                  </pic:spPr>
                </pic:pic>
              </a:graphicData>
            </a:graphic>
          </wp:inline>
        </w:drawing>
      </w:r>
    </w:p>
    <w:p w14:paraId="68593FD6" w14:textId="77777777" w:rsidR="0051091D" w:rsidRPr="0051091D" w:rsidRDefault="00DD739F" w:rsidP="0051091D">
      <w:pPr>
        <w:pStyle w:val="NoSpacing"/>
        <w:jc w:val="both"/>
        <w:rPr>
          <w:rFonts w:ascii="Times New Roman" w:hAnsi="Times New Roman" w:cs="Times New Roman"/>
          <w:sz w:val="20"/>
          <w:szCs w:val="20"/>
        </w:rPr>
      </w:pPr>
      <w:r w:rsidRPr="00DD739F">
        <w:rPr>
          <w:rFonts w:ascii="Times New Roman" w:hAnsi="Times New Roman" w:cs="Times New Roman"/>
          <w:sz w:val="20"/>
          <w:szCs w:val="20"/>
        </w:rPr>
        <w:lastRenderedPageBreak/>
        <w:t>Here, </w:t>
      </w:r>
      <m:oMath>
        <m:r>
          <w:rPr>
            <w:rFonts w:ascii="Cambria Math" w:hAnsi="Cambria Math" w:cs="Times New Roman"/>
            <w:sz w:val="20"/>
            <w:szCs w:val="20"/>
          </w:rPr>
          <m:t>T</m:t>
        </m:r>
      </m:oMath>
      <w:r w:rsidRPr="00DD739F">
        <w:rPr>
          <w:rFonts w:ascii="Times New Roman" w:hAnsi="Times New Roman" w:cs="Times New Roman"/>
          <w:sz w:val="20"/>
          <w:szCs w:val="20"/>
        </w:rPr>
        <w:t> is a temperature parameter. This formulation ensures that sources with high recent errors (high uncertainty) are automatically assigned lower weights, allowing the model to, for instance, down-weight technical indicators during a news-driven crash and up-weight sentiment signals.</w:t>
      </w:r>
    </w:p>
    <w:p w14:paraId="42F2EB47" w14:textId="77777777" w:rsidR="0051091D" w:rsidRPr="0051091D" w:rsidRDefault="0051091D" w:rsidP="0051091D">
      <w:pPr>
        <w:pStyle w:val="NoSpacing"/>
        <w:jc w:val="both"/>
        <w:rPr>
          <w:rFonts w:ascii="Times New Roman" w:hAnsi="Times New Roman" w:cs="Times New Roman"/>
          <w:sz w:val="20"/>
          <w:szCs w:val="20"/>
        </w:rPr>
      </w:pPr>
    </w:p>
    <w:p w14:paraId="7C38EA44" w14:textId="77777777" w:rsidR="0051091D" w:rsidRPr="0051091D" w:rsidRDefault="0051091D" w:rsidP="0051091D">
      <w:pPr>
        <w:pStyle w:val="NoSpacing"/>
        <w:jc w:val="both"/>
        <w:rPr>
          <w:rFonts w:ascii="Times New Roman" w:hAnsi="Times New Roman" w:cs="Times New Roman"/>
          <w:sz w:val="20"/>
          <w:szCs w:val="20"/>
        </w:rPr>
      </w:pPr>
      <w:r w:rsidRPr="00440098">
        <w:rPr>
          <w:rFonts w:ascii="Times New Roman" w:hAnsi="Times New Roman" w:cs="Times New Roman"/>
          <w:b/>
          <w:bCs/>
          <w:sz w:val="20"/>
          <w:szCs w:val="20"/>
        </w:rPr>
        <w:t>Final Prediction:</w:t>
      </w:r>
      <w:r w:rsidRPr="0051091D">
        <w:rPr>
          <w:rFonts w:ascii="Times New Roman" w:hAnsi="Times New Roman" w:cs="Times New Roman"/>
          <w:sz w:val="20"/>
          <w:szCs w:val="20"/>
        </w:rPr>
        <w:t xml:space="preserve"> </w:t>
      </w:r>
      <w:r w:rsidR="00DD739F" w:rsidRPr="00DD739F">
        <w:rPr>
          <w:rFonts w:ascii="Times New Roman" w:hAnsi="Times New Roman" w:cs="Times New Roman"/>
          <w:sz w:val="20"/>
          <w:szCs w:val="20"/>
        </w:rPr>
        <w:t>The final, fused prediction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m:t>
            </m:r>
          </m:sub>
        </m:sSub>
      </m:oMath>
      <w:r w:rsidR="00DD739F" w:rsidRPr="00DD739F">
        <w:rPr>
          <w:rFonts w:ascii="Times New Roman" w:hAnsi="Times New Roman" w:cs="Times New Roman"/>
          <w:sz w:val="20"/>
          <w:szCs w:val="20"/>
        </w:rPr>
        <w:t> is the uncertainty-weighted sum:</w:t>
      </w:r>
    </w:p>
    <w:p w14:paraId="2E802CFD" w14:textId="77777777" w:rsidR="0051091D" w:rsidRPr="0051091D" w:rsidRDefault="00DD739F" w:rsidP="00440098">
      <w:pPr>
        <w:pStyle w:val="NoSpacing"/>
        <w:jc w:val="center"/>
        <w:rPr>
          <w:rFonts w:ascii="Times New Roman" w:hAnsi="Times New Roman" w:cs="Times New Roman"/>
          <w:sz w:val="20"/>
          <w:szCs w:val="20"/>
        </w:rPr>
      </w:pPr>
      <w:r w:rsidRPr="00DD739F">
        <w:rPr>
          <w:rFonts w:ascii="Times New Roman" w:hAnsi="Times New Roman" w:cs="Times New Roman"/>
          <w:noProof/>
          <w:sz w:val="20"/>
          <w:szCs w:val="20"/>
        </w:rPr>
        <w:drawing>
          <wp:inline distT="0" distB="0" distL="0" distR="0" wp14:anchorId="41B67505" wp14:editId="2846C9D2">
            <wp:extent cx="1867062" cy="548688"/>
            <wp:effectExtent l="0" t="0" r="0" b="3810"/>
            <wp:docPr id="1332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7627" name=""/>
                    <pic:cNvPicPr/>
                  </pic:nvPicPr>
                  <pic:blipFill>
                    <a:blip r:embed="rId7"/>
                    <a:stretch>
                      <a:fillRect/>
                    </a:stretch>
                  </pic:blipFill>
                  <pic:spPr>
                    <a:xfrm>
                      <a:off x="0" y="0"/>
                      <a:ext cx="1867062" cy="548688"/>
                    </a:xfrm>
                    <a:prstGeom prst="rect">
                      <a:avLst/>
                    </a:prstGeom>
                  </pic:spPr>
                </pic:pic>
              </a:graphicData>
            </a:graphic>
          </wp:inline>
        </w:drawing>
      </w:r>
      <w:r w:rsidR="00440098" w:rsidRPr="00440098">
        <w:rPr>
          <w:rFonts w:ascii="Times New Roman" w:hAnsi="Times New Roman" w:cs="Times New Roman"/>
          <w:sz w:val="20"/>
          <w:szCs w:val="20"/>
        </w:rPr>
        <w:t xml:space="preserve"> </w:t>
      </w:r>
      <w:r w:rsidR="0051091D" w:rsidRPr="0051091D">
        <w:rPr>
          <w:rFonts w:ascii="Times New Roman" w:hAnsi="Times New Roman" w:cs="Times New Roman"/>
          <w:sz w:val="20"/>
          <w:szCs w:val="20"/>
        </w:rPr>
        <w:t>​</w:t>
      </w:r>
    </w:p>
    <w:p w14:paraId="064AAA2C" w14:textId="77777777" w:rsidR="0051091D" w:rsidRPr="00440098" w:rsidRDefault="0051091D" w:rsidP="0051091D">
      <w:pPr>
        <w:pStyle w:val="NoSpacing"/>
        <w:jc w:val="both"/>
        <w:rPr>
          <w:rFonts w:ascii="Times New Roman" w:hAnsi="Times New Roman" w:cs="Times New Roman"/>
          <w:b/>
          <w:bCs/>
          <w:sz w:val="20"/>
          <w:szCs w:val="20"/>
        </w:rPr>
      </w:pPr>
      <w:r w:rsidRPr="0051091D">
        <w:rPr>
          <w:rFonts w:ascii="Times New Roman" w:hAnsi="Times New Roman" w:cs="Times New Roman"/>
          <w:sz w:val="20"/>
          <w:szCs w:val="20"/>
        </w:rPr>
        <w:t xml:space="preserve"> </w:t>
      </w:r>
      <w:r w:rsidRPr="00440098">
        <w:rPr>
          <w:rFonts w:ascii="Times New Roman" w:hAnsi="Times New Roman" w:cs="Times New Roman"/>
          <w:b/>
          <w:bCs/>
          <w:sz w:val="20"/>
          <w:szCs w:val="20"/>
        </w:rPr>
        <w:t>3.4 Model Training and Validation</w:t>
      </w:r>
    </w:p>
    <w:p w14:paraId="796F1FAA" w14:textId="77777777"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The training process uses a sequential split: 2018-2021 for training, 2022 for validation, and 2023 for out-of-sample testing. All models are trained to minimize the Mean Squared Error (MSE). The source-specific models are pre-trained independently. The entire system is then fine-tuned end-to-end, allowing gradients to flow back through the fusion mechanism.</w:t>
      </w:r>
    </w:p>
    <w:p w14:paraId="371EBA1D" w14:textId="77777777" w:rsidR="00DD739F" w:rsidRPr="00DD739F" w:rsidRDefault="00DD739F" w:rsidP="00DD739F">
      <w:pPr>
        <w:pStyle w:val="NoSpacing"/>
        <w:jc w:val="both"/>
        <w:rPr>
          <w:rFonts w:ascii="Times New Roman" w:hAnsi="Times New Roman" w:cs="Times New Roman"/>
          <w:sz w:val="20"/>
          <w:szCs w:val="20"/>
        </w:rPr>
      </w:pPr>
    </w:p>
    <w:p w14:paraId="30D6C008" w14:textId="77777777"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The proposed model is benchmarked against state-of-the-art static fusion baselines:</w:t>
      </w:r>
    </w:p>
    <w:p w14:paraId="3991B00C" w14:textId="77777777"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Baseline 1 (Early Fusion) [15]: A single GRU model with concatenated features from all three sources.</w:t>
      </w:r>
    </w:p>
    <w:p w14:paraId="251B9E98" w14:textId="77777777"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Baseline 2 (Late Fusion) [5]: Averaging the predictions of the three independently trained source models.</w:t>
      </w:r>
    </w:p>
    <w:p w14:paraId="2F9FE5B7" w14:textId="77777777" w:rsidR="00DD739F" w:rsidRPr="00DD739F"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Baseline 3 (Attention Fusion) [2], [35]: A model using a static neural attention layer.</w:t>
      </w:r>
    </w:p>
    <w:p w14:paraId="243C75AC" w14:textId="77777777" w:rsidR="00DD739F" w:rsidRPr="00DD739F" w:rsidRDefault="00DD739F" w:rsidP="00DD739F">
      <w:pPr>
        <w:pStyle w:val="NoSpacing"/>
        <w:jc w:val="both"/>
        <w:rPr>
          <w:rFonts w:ascii="Times New Roman" w:hAnsi="Times New Roman" w:cs="Times New Roman"/>
          <w:sz w:val="20"/>
          <w:szCs w:val="20"/>
        </w:rPr>
      </w:pPr>
    </w:p>
    <w:p w14:paraId="3E7B194E" w14:textId="77777777" w:rsidR="0051091D" w:rsidRDefault="00DD739F" w:rsidP="00DD739F">
      <w:pPr>
        <w:pStyle w:val="NoSpacing"/>
        <w:jc w:val="both"/>
        <w:rPr>
          <w:rFonts w:ascii="Times New Roman" w:hAnsi="Times New Roman" w:cs="Times New Roman"/>
          <w:sz w:val="20"/>
          <w:szCs w:val="20"/>
        </w:rPr>
      </w:pPr>
      <w:r w:rsidRPr="00DD739F">
        <w:rPr>
          <w:rFonts w:ascii="Times New Roman" w:hAnsi="Times New Roman" w:cs="Times New Roman"/>
          <w:sz w:val="20"/>
          <w:szCs w:val="20"/>
        </w:rPr>
        <w:t>The following flowchart illustrates the complete architecture and data flow of the proposed system in the Indian market context.</w:t>
      </w:r>
    </w:p>
    <w:p w14:paraId="1386ACAA" w14:textId="77777777" w:rsidR="002B2C4F" w:rsidRDefault="002B2C4F" w:rsidP="002B2C4F">
      <w:pPr>
        <w:pStyle w:val="NoSpacing"/>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A0B74D1" wp14:editId="148D2CC7">
            <wp:extent cx="3784600" cy="5512534"/>
            <wp:effectExtent l="0" t="0" r="6350" b="0"/>
            <wp:docPr id="14591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05540" name="Picture 1459105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1003" cy="5565558"/>
                    </a:xfrm>
                    <a:prstGeom prst="rect">
                      <a:avLst/>
                    </a:prstGeom>
                  </pic:spPr>
                </pic:pic>
              </a:graphicData>
            </a:graphic>
          </wp:inline>
        </w:drawing>
      </w:r>
    </w:p>
    <w:p w14:paraId="309ABBBE" w14:textId="77777777" w:rsidR="00440098" w:rsidRDefault="002B2C4F" w:rsidP="002B2C4F">
      <w:pPr>
        <w:pStyle w:val="NoSpacing"/>
        <w:jc w:val="center"/>
        <w:rPr>
          <w:rFonts w:ascii="Times New Roman" w:hAnsi="Times New Roman" w:cs="Times New Roman"/>
          <w:sz w:val="20"/>
          <w:szCs w:val="20"/>
        </w:rPr>
      </w:pPr>
      <w:r w:rsidRPr="002B2C4F">
        <w:rPr>
          <w:rFonts w:ascii="Times New Roman" w:hAnsi="Times New Roman" w:cs="Times New Roman"/>
          <w:sz w:val="20"/>
          <w:szCs w:val="20"/>
        </w:rPr>
        <w:t>Figure 1. Proposed Dynamic Fusion Framework for the Indian Equity Market (Nifty 50).</w:t>
      </w:r>
    </w:p>
    <w:p w14:paraId="3B213487" w14:textId="77777777" w:rsidR="009978EE" w:rsidRDefault="002B2C4F" w:rsidP="002B2C4F">
      <w:pPr>
        <w:pStyle w:val="NoSpacing"/>
        <w:jc w:val="both"/>
        <w:rPr>
          <w:rFonts w:ascii="Times New Roman" w:hAnsi="Times New Roman" w:cs="Times New Roman"/>
          <w:sz w:val="20"/>
          <w:szCs w:val="20"/>
        </w:rPr>
      </w:pPr>
      <w:r w:rsidRPr="002B2C4F">
        <w:rPr>
          <w:rFonts w:ascii="Times New Roman" w:hAnsi="Times New Roman" w:cs="Times New Roman"/>
          <w:sz w:val="20"/>
          <w:szCs w:val="20"/>
        </w:rPr>
        <w:lastRenderedPageBreak/>
        <w:t>Figure 1 illustrates the end-to-end pipeline of the proposed dynamic uncertainty-weighted fusion framework, tailored for the Indian financial scenario. The process begins with the ingestion of Raw Multi-Source Data specific to India: Nifty 50 OHLCV, the India VIX index, and a corpus of Indian financial news. This data flows into the India-Specific Preprocessing module, which is a critical differentiator. Here, the data is cleaned, and domain-specific transformations are applied, including the fine-tuning of the sentiment analysis model (</w:t>
      </w:r>
      <w:proofErr w:type="spellStart"/>
      <w:r w:rsidRPr="002B2C4F">
        <w:rPr>
          <w:rFonts w:ascii="Times New Roman" w:hAnsi="Times New Roman" w:cs="Times New Roman"/>
          <w:sz w:val="20"/>
          <w:szCs w:val="20"/>
        </w:rPr>
        <w:t>FinBERT</w:t>
      </w:r>
      <w:proofErr w:type="spellEnd"/>
      <w:r w:rsidRPr="002B2C4F">
        <w:rPr>
          <w:rFonts w:ascii="Times New Roman" w:hAnsi="Times New Roman" w:cs="Times New Roman"/>
          <w:sz w:val="20"/>
          <w:szCs w:val="20"/>
        </w:rPr>
        <w:t xml:space="preserve">) on Indian financial text and strict alignment to the NSE trading calendar, correctly handling Indian market holidays. The </w:t>
      </w:r>
      <w:proofErr w:type="spellStart"/>
      <w:r w:rsidRPr="002B2C4F">
        <w:rPr>
          <w:rFonts w:ascii="Times New Roman" w:hAnsi="Times New Roman" w:cs="Times New Roman"/>
          <w:sz w:val="20"/>
          <w:szCs w:val="20"/>
        </w:rPr>
        <w:t>preprocessed</w:t>
      </w:r>
      <w:proofErr w:type="spellEnd"/>
      <w:r w:rsidRPr="002B2C4F">
        <w:rPr>
          <w:rFonts w:ascii="Times New Roman" w:hAnsi="Times New Roman" w:cs="Times New Roman"/>
          <w:sz w:val="20"/>
          <w:szCs w:val="20"/>
        </w:rPr>
        <w:t xml:space="preserve"> data is then passed in parallel to the Source-Specific </w:t>
      </w:r>
      <w:proofErr w:type="spellStart"/>
      <w:r w:rsidRPr="002B2C4F">
        <w:rPr>
          <w:rFonts w:ascii="Times New Roman" w:hAnsi="Times New Roman" w:cs="Times New Roman"/>
          <w:sz w:val="20"/>
          <w:szCs w:val="20"/>
        </w:rPr>
        <w:t>Modeling</w:t>
      </w:r>
      <w:proofErr w:type="spellEnd"/>
      <w:r w:rsidRPr="002B2C4F">
        <w:rPr>
          <w:rFonts w:ascii="Times New Roman" w:hAnsi="Times New Roman" w:cs="Times New Roman"/>
          <w:sz w:val="20"/>
          <w:szCs w:val="20"/>
        </w:rPr>
        <w:t> module, where three dedicated neural architectures (GRU, Transformer, MLP) act as expert models for each data type, generating independent predictions </w:t>
      </w:r>
      <m:oMath>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M,t</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S,t</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A,t</m:t>
            </m:r>
          </m:sub>
        </m:sSub>
        <m:r>
          <w:rPr>
            <w:rFonts w:ascii="Cambria Math" w:hAnsi="Cambria Math" w:cs="Times New Roman"/>
            <w:sz w:val="20"/>
            <w:szCs w:val="20"/>
          </w:rPr>
          <m:t>)</m:t>
        </m:r>
      </m:oMath>
      <w:r w:rsidRPr="002B2C4F">
        <w:rPr>
          <w:rFonts w:ascii="Times New Roman" w:hAnsi="Times New Roman" w:cs="Times New Roman"/>
          <w:sz w:val="20"/>
          <w:szCs w:val="20"/>
        </w:rPr>
        <w:t>. The novelty of the framework resides in the subsequent Dynamic Uncertainty Quantification module. This component calculates a time-varying uncertainty estimate </w:t>
      </w:r>
      <m:oMath>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r>
          <w:rPr>
            <w:rFonts w:ascii="Cambria Math" w:hAnsi="Cambria Math" w:cs="Times New Roman"/>
            <w:sz w:val="20"/>
            <w:szCs w:val="20"/>
          </w:rPr>
          <m:t>)</m:t>
        </m:r>
      </m:oMath>
      <w:r w:rsidRPr="002B2C4F">
        <w:rPr>
          <w:rFonts w:ascii="Times New Roman" w:hAnsi="Times New Roman" w:cs="Times New Roman"/>
          <w:sz w:val="20"/>
          <w:szCs w:val="20"/>
        </w:rPr>
        <w:t> for each source by evaluating its predictive error over a recent window. These uncertainty scores are the dynamic inputs to the Bayesian Fusion module, where they are converted into adaptive weights </w:t>
      </w:r>
      <m:oMath>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r>
          <w:rPr>
            <w:rFonts w:ascii="Cambria Math" w:hAnsi="Cambria Math" w:cs="Times New Roman"/>
            <w:sz w:val="20"/>
            <w:szCs w:val="20"/>
          </w:rPr>
          <m:t>)</m:t>
        </m:r>
      </m:oMath>
      <w:r w:rsidRPr="002B2C4F">
        <w:rPr>
          <w:rFonts w:ascii="Times New Roman" w:hAnsi="Times New Roman" w:cs="Times New Roman"/>
          <w:sz w:val="20"/>
          <w:szCs w:val="20"/>
        </w:rPr>
        <w:t> via a softmax function. The final prediction </w:t>
      </w:r>
      <m:oMath>
        <m: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t</m:t>
            </m:r>
          </m:sub>
        </m:sSub>
        <m:r>
          <w:rPr>
            <w:rFonts w:ascii="Cambria Math" w:hAnsi="Cambria Math" w:cs="Times New Roman"/>
            <w:sz w:val="20"/>
            <w:szCs w:val="20"/>
          </w:rPr>
          <m:t>)</m:t>
        </m:r>
      </m:oMath>
      <w:r w:rsidRPr="002B2C4F">
        <w:rPr>
          <w:rFonts w:ascii="Times New Roman" w:hAnsi="Times New Roman" w:cs="Times New Roman"/>
          <w:sz w:val="20"/>
          <w:szCs w:val="20"/>
        </w:rPr>
        <w:t> for the Nifty 50 is the weighted sum of the individual predictions, where the weight of each source is proportional to its recent reliability. This entire system is subjected to Sequential Walk-Forward Testing to ensure robust validation in a realistic setting, mimicking how a model would be deployed and re-calibrated over time in the Indian market.</w:t>
      </w:r>
    </w:p>
    <w:p w14:paraId="03E8E3FB" w14:textId="77777777" w:rsidR="009978EE" w:rsidRDefault="009978EE" w:rsidP="002B2C4F">
      <w:pPr>
        <w:pStyle w:val="NoSpacing"/>
        <w:jc w:val="both"/>
        <w:rPr>
          <w:rFonts w:ascii="Times New Roman" w:hAnsi="Times New Roman" w:cs="Times New Roman"/>
          <w:sz w:val="20"/>
          <w:szCs w:val="20"/>
        </w:rPr>
      </w:pPr>
    </w:p>
    <w:p w14:paraId="187ECBDC" w14:textId="77777777" w:rsidR="009978EE" w:rsidRPr="009978EE" w:rsidRDefault="009978EE" w:rsidP="009978EE">
      <w:pPr>
        <w:pStyle w:val="NoSpacing"/>
        <w:numPr>
          <w:ilvl w:val="0"/>
          <w:numId w:val="3"/>
        </w:numPr>
        <w:jc w:val="both"/>
        <w:rPr>
          <w:rFonts w:ascii="Times New Roman" w:hAnsi="Times New Roman" w:cs="Times New Roman"/>
          <w:b/>
          <w:bCs/>
        </w:rPr>
      </w:pPr>
      <w:r>
        <w:rPr>
          <w:rFonts w:ascii="Times New Roman" w:hAnsi="Times New Roman" w:cs="Times New Roman"/>
          <w:b/>
          <w:bCs/>
        </w:rPr>
        <w:t>Discussion</w:t>
      </w:r>
    </w:p>
    <w:p w14:paraId="535F68D3" w14:textId="77777777"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The empirical evaluation of the proposed Dynamic Uncertainty-Weighted Fusion framework reveals several critical insights that substantiate its theoretical novelty and practical superiority over existing static fusion methods. The results demonstrate that the explicit quantification of time-varying source uncertainty is not merely a theoretical enhancement but a fundamental requirement for robust multi-source financial forecasting, particularly in the dynamic and often sentiment-driven Indian equity market.</w:t>
      </w:r>
    </w:p>
    <w:p w14:paraId="0E453F72" w14:textId="77777777" w:rsidR="009978EE" w:rsidRDefault="009978EE" w:rsidP="009978EE">
      <w:pPr>
        <w:pStyle w:val="NoSpacing"/>
        <w:jc w:val="both"/>
        <w:rPr>
          <w:rFonts w:ascii="Times New Roman" w:hAnsi="Times New Roman" w:cs="Times New Roman"/>
          <w:sz w:val="20"/>
          <w:szCs w:val="20"/>
        </w:rPr>
      </w:pPr>
    </w:p>
    <w:p w14:paraId="119FB542" w14:textId="77777777" w:rsidR="009978EE" w:rsidRPr="009978EE" w:rsidRDefault="009978EE" w:rsidP="009978EE">
      <w:pPr>
        <w:pStyle w:val="NoSpacing"/>
        <w:jc w:val="both"/>
        <w:rPr>
          <w:rFonts w:ascii="Times New Roman" w:hAnsi="Times New Roman" w:cs="Times New Roman"/>
          <w:b/>
          <w:bCs/>
          <w:sz w:val="20"/>
          <w:szCs w:val="20"/>
        </w:rPr>
      </w:pPr>
      <w:r>
        <w:rPr>
          <w:rFonts w:ascii="Times New Roman" w:hAnsi="Times New Roman" w:cs="Times New Roman"/>
          <w:b/>
          <w:bCs/>
          <w:sz w:val="20"/>
          <w:szCs w:val="20"/>
        </w:rPr>
        <w:t>4</w:t>
      </w:r>
      <w:r w:rsidRPr="009978EE">
        <w:rPr>
          <w:rFonts w:ascii="Times New Roman" w:hAnsi="Times New Roman" w:cs="Times New Roman"/>
          <w:b/>
          <w:bCs/>
          <w:sz w:val="20"/>
          <w:szCs w:val="20"/>
        </w:rPr>
        <w:t>.1 The Critical Role of Dynamic Adaptation</w:t>
      </w:r>
    </w:p>
    <w:p w14:paraId="36F96B56" w14:textId="77777777"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 xml:space="preserve">The core advantage of the proposed framework lies in its dynamic adaptation capability, a feature entirely </w:t>
      </w:r>
      <w:proofErr w:type="gramStart"/>
      <w:r w:rsidRPr="009978EE">
        <w:rPr>
          <w:rFonts w:ascii="Times New Roman" w:hAnsi="Times New Roman" w:cs="Times New Roman"/>
          <w:sz w:val="20"/>
          <w:szCs w:val="20"/>
        </w:rPr>
        <w:t>absent</w:t>
      </w:r>
      <w:proofErr w:type="gramEnd"/>
      <w:r w:rsidRPr="009978EE">
        <w:rPr>
          <w:rFonts w:ascii="Times New Roman" w:hAnsi="Times New Roman" w:cs="Times New Roman"/>
          <w:sz w:val="20"/>
          <w:szCs w:val="20"/>
        </w:rPr>
        <w:t xml:space="preserve"> in benchmark models like Early Fusion [15], Late Fusion [5], and static Attention Fusion [2], [35]. While these static methods achieved respectable performance during stable market periods, their performance deteriorated significantly during high-volatility regimes, such as the market correction in Q1 2022 and the period surrounding the 2023 Union Budget announcement. This is because their fusion parameters, whether fixed weights or static attention patterns, could not adapt to the shifting predictive power of different data sources.</w:t>
      </w:r>
    </w:p>
    <w:p w14:paraId="19978B3A" w14:textId="77777777"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Our framework's dynamic weighting mechanism successfully navigated these regime changes. For instance, during the Russia-Ukraine conflict induced volatility in early 2022, the model automatically increased the weight of the India VIX-based model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A</m:t>
            </m:r>
          </m:sub>
        </m:sSub>
      </m:oMath>
      <w:r w:rsidRPr="009978EE">
        <w:rPr>
          <w:rFonts w:ascii="Times New Roman" w:hAnsi="Times New Roman" w:cs="Times New Roman"/>
          <w:sz w:val="20"/>
          <w:szCs w:val="20"/>
        </w:rPr>
        <w:t>) while decreasing the reliance on technical indicators from the GRU model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M</m:t>
            </m:r>
          </m:sub>
        </m:sSub>
      </m:oMath>
      <w:r w:rsidRPr="009978EE">
        <w:rPr>
          <w:rFonts w:ascii="Times New Roman" w:hAnsi="Times New Roman" w:cs="Times New Roman"/>
          <w:sz w:val="20"/>
          <w:szCs w:val="20"/>
        </w:rPr>
        <w:t>), which became less reliable as historical patterns broke down. Conversely, during the steady bull run in late 2023, the model correctly shifted weight back towards the technical model. This adaptive behavior is the direct result of the Bayesian uncertainty-weighting, which treats the fusion process as a dynamic, state-dependent problem rather than a static one.</w:t>
      </w:r>
    </w:p>
    <w:p w14:paraId="65C4E066" w14:textId="77777777"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Figure 2 below illustrates this dynamic adaptation by showing the evolution of fusion weights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oMath>
      <w:r w:rsidRPr="009978EE">
        <w:rPr>
          <w:rFonts w:ascii="Times New Roman" w:hAnsi="Times New Roman" w:cs="Times New Roman"/>
          <w:sz w:val="20"/>
          <w:szCs w:val="20"/>
        </w:rPr>
        <w:t xml:space="preserve">) for a specific high-volatility period, contrasting it with the India VIX to highlight the regime-aware </w:t>
      </w:r>
      <w:proofErr w:type="spellStart"/>
      <w:r w:rsidRPr="009978EE">
        <w:rPr>
          <w:rFonts w:ascii="Times New Roman" w:hAnsi="Times New Roman" w:cs="Times New Roman"/>
          <w:sz w:val="20"/>
          <w:szCs w:val="20"/>
        </w:rPr>
        <w:t>behavior</w:t>
      </w:r>
      <w:proofErr w:type="spellEnd"/>
      <w:r w:rsidRPr="009978EE">
        <w:rPr>
          <w:rFonts w:ascii="Times New Roman" w:hAnsi="Times New Roman" w:cs="Times New Roman"/>
          <w:sz w:val="20"/>
          <w:szCs w:val="20"/>
        </w:rPr>
        <w:t>.</w:t>
      </w:r>
    </w:p>
    <w:p w14:paraId="4CE188F6" w14:textId="77777777" w:rsidR="009978EE" w:rsidRPr="009978EE" w:rsidRDefault="009978EE" w:rsidP="009978EE">
      <w:pPr>
        <w:pStyle w:val="NoSpacing"/>
        <w:jc w:val="both"/>
        <w:rPr>
          <w:rFonts w:ascii="Times New Roman" w:hAnsi="Times New Roman" w:cs="Times New Roman"/>
          <w:sz w:val="20"/>
          <w:szCs w:val="20"/>
        </w:rPr>
      </w:pPr>
    </w:p>
    <w:p w14:paraId="03503264" w14:textId="77777777" w:rsidR="009978EE" w:rsidRDefault="009978EE" w:rsidP="009978EE">
      <w:pPr>
        <w:pStyle w:val="NoSpacing"/>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6FB8046" wp14:editId="0AC3B541">
            <wp:extent cx="3917950" cy="2600970"/>
            <wp:effectExtent l="0" t="0" r="6350" b="8890"/>
            <wp:docPr id="31642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3811" name="Picture 316423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4760" cy="2605491"/>
                    </a:xfrm>
                    <a:prstGeom prst="rect">
                      <a:avLst/>
                    </a:prstGeom>
                  </pic:spPr>
                </pic:pic>
              </a:graphicData>
            </a:graphic>
          </wp:inline>
        </w:drawing>
      </w:r>
    </w:p>
    <w:p w14:paraId="36A9E4D2" w14:textId="77777777" w:rsidR="009978EE" w:rsidRPr="009978EE" w:rsidRDefault="009978EE" w:rsidP="009978EE">
      <w:pPr>
        <w:pStyle w:val="NoSpacing"/>
        <w:jc w:val="center"/>
        <w:rPr>
          <w:rFonts w:ascii="Times New Roman" w:hAnsi="Times New Roman" w:cs="Times New Roman"/>
          <w:sz w:val="20"/>
          <w:szCs w:val="20"/>
        </w:rPr>
      </w:pPr>
      <w:r w:rsidRPr="009978EE">
        <w:rPr>
          <w:rFonts w:ascii="Times New Roman" w:hAnsi="Times New Roman" w:cs="Times New Roman"/>
          <w:sz w:val="20"/>
          <w:szCs w:val="20"/>
        </w:rPr>
        <w:t>Figure 2. Dynamic Adaptation to Market Regimes.</w:t>
      </w:r>
    </w:p>
    <w:p w14:paraId="2EBC1280" w14:textId="77777777" w:rsidR="009978EE" w:rsidRDefault="009978EE" w:rsidP="009978EE">
      <w:pPr>
        <w:pStyle w:val="NoSpacing"/>
        <w:jc w:val="center"/>
        <w:rPr>
          <w:rFonts w:ascii="Times New Roman" w:hAnsi="Times New Roman" w:cs="Times New Roman"/>
          <w:sz w:val="20"/>
          <w:szCs w:val="20"/>
        </w:rPr>
      </w:pPr>
    </w:p>
    <w:p w14:paraId="001E8A8D" w14:textId="77777777"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(a) The India VIX, showing a significant spike during a high-volatility event. (b) The corresponding dynamic fusion weights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i,t</m:t>
            </m:r>
          </m:sub>
        </m:sSub>
      </m:oMath>
      <w:r w:rsidRPr="009978EE">
        <w:rPr>
          <w:rFonts w:ascii="Times New Roman" w:hAnsi="Times New Roman" w:cs="Times New Roman"/>
          <w:sz w:val="20"/>
          <w:szCs w:val="20"/>
        </w:rPr>
        <w:t>) from the proposed framework. During the volatile period (shaded red), the model autonomously reduces its reliance on the Technical Model, whose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M,t</m:t>
            </m:r>
          </m:sub>
          <m:sup>
            <m:r>
              <w:rPr>
                <w:rFonts w:ascii="Cambria Math" w:hAnsi="Cambria Math" w:cs="Times New Roman"/>
                <w:sz w:val="20"/>
                <w:szCs w:val="20"/>
              </w:rPr>
              <m:t>2</m:t>
            </m:r>
          </m:sup>
        </m:sSubSup>
      </m:oMath>
      <w:r w:rsidRPr="009978EE">
        <w:rPr>
          <w:rFonts w:ascii="Times New Roman" w:hAnsi="Times New Roman" w:cs="Times New Roman"/>
          <w:sz w:val="20"/>
          <w:szCs w:val="20"/>
        </w:rPr>
        <w:t>) increased, and shifts weight towards the VIX Model and, to a lesser extent, the Sentiment Model. This demonstrates the framework's core capability to perform real-time, uncertainty-aware source selection.</w:t>
      </w:r>
    </w:p>
    <w:p w14:paraId="2EB5F2BB" w14:textId="77777777" w:rsidR="00D13E56" w:rsidRDefault="00D13E56" w:rsidP="002B2C4F">
      <w:pPr>
        <w:pStyle w:val="NoSpacing"/>
        <w:jc w:val="both"/>
        <w:rPr>
          <w:rFonts w:ascii="Times New Roman" w:hAnsi="Times New Roman" w:cs="Times New Roman"/>
          <w:sz w:val="20"/>
          <w:szCs w:val="20"/>
        </w:rPr>
      </w:pPr>
    </w:p>
    <w:p w14:paraId="152DA98F" w14:textId="77777777" w:rsidR="009978EE" w:rsidRPr="009978EE" w:rsidRDefault="009978EE" w:rsidP="009978EE">
      <w:pPr>
        <w:pStyle w:val="NoSpacing"/>
        <w:jc w:val="both"/>
        <w:rPr>
          <w:rFonts w:ascii="Times New Roman" w:hAnsi="Times New Roman" w:cs="Times New Roman"/>
          <w:b/>
          <w:bCs/>
          <w:sz w:val="20"/>
          <w:szCs w:val="20"/>
        </w:rPr>
      </w:pPr>
      <w:r>
        <w:rPr>
          <w:rFonts w:ascii="Times New Roman" w:hAnsi="Times New Roman" w:cs="Times New Roman"/>
          <w:b/>
          <w:bCs/>
          <w:sz w:val="20"/>
          <w:szCs w:val="20"/>
        </w:rPr>
        <w:t>4</w:t>
      </w:r>
      <w:r w:rsidRPr="009978EE">
        <w:rPr>
          <w:rFonts w:ascii="Times New Roman" w:hAnsi="Times New Roman" w:cs="Times New Roman"/>
          <w:b/>
          <w:bCs/>
          <w:sz w:val="20"/>
          <w:szCs w:val="20"/>
        </w:rPr>
        <w:t>.2 Uncertainty Quantification as a Superior Signal</w:t>
      </w:r>
    </w:p>
    <w:p w14:paraId="13CE889A" w14:textId="77777777"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The results confirm that the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oMath>
      <w:r w:rsidRPr="009978EE">
        <w:rPr>
          <w:rFonts w:ascii="Times New Roman" w:hAnsi="Times New Roman" w:cs="Times New Roman"/>
          <w:sz w:val="20"/>
          <w:szCs w:val="20"/>
        </w:rPr>
        <w:t> is a more informative signal for fusion than the point prediction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i,t</m:t>
            </m:r>
          </m:sub>
        </m:sSub>
      </m:oMath>
      <w:r w:rsidRPr="009978EE">
        <w:rPr>
          <w:rFonts w:ascii="Times New Roman" w:hAnsi="Times New Roman" w:cs="Times New Roman"/>
          <w:sz w:val="20"/>
          <w:szCs w:val="20"/>
        </w:rPr>
        <w:t> alone. In static attention models [2], [35], the attention mechanism learns to weight features or sources based on their average predictive contribution over the entire training set. However, this fails to account for the instantaneous reliability of a source. Our method directly addresses this by using the recent historical error variance as a proxy for instantaneous predictive confidence.</w:t>
      </w:r>
    </w:p>
    <w:p w14:paraId="755B3184" w14:textId="77777777"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This approach proved particularly valuable in handling the noisy nature of sentiment data. There were days when the sentiment score was highly positive due to ambiguous or sarcastic news headlines, which would have misled a statically weighted model. However, in our framework, if such a sentiment prediction deviated significantly from the subsequent market move, its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S,t</m:t>
            </m:r>
          </m:sub>
          <m:sup>
            <m:r>
              <w:rPr>
                <w:rFonts w:ascii="Cambria Math" w:hAnsi="Cambria Math" w:cs="Times New Roman"/>
                <w:sz w:val="20"/>
                <w:szCs w:val="20"/>
              </w:rPr>
              <m:t>2</m:t>
            </m:r>
          </m:sup>
        </m:sSubSup>
      </m:oMath>
      <w:r w:rsidRPr="009978EE">
        <w:rPr>
          <w:rFonts w:ascii="Times New Roman" w:hAnsi="Times New Roman" w:cs="Times New Roman"/>
          <w:sz w:val="20"/>
          <w:szCs w:val="20"/>
        </w:rPr>
        <w:t> would increase, causing its weight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S,t</m:t>
            </m:r>
          </m:sub>
        </m:sSub>
      </m:oMath>
      <w:r w:rsidRPr="009978EE">
        <w:rPr>
          <w:rFonts w:ascii="Times New Roman" w:hAnsi="Times New Roman" w:cs="Times New Roman"/>
          <w:sz w:val="20"/>
          <w:szCs w:val="20"/>
        </w:rPr>
        <w:t> to be automatically reduced in the following days. This built-in self-correction mechanism enhances the model's robustness and reduces its susceptibility to noise, a common challenge noted in sentiment-based studies [21], [31].</w:t>
      </w:r>
    </w:p>
    <w:p w14:paraId="46879049" w14:textId="77777777" w:rsidR="009978EE" w:rsidRDefault="009978EE" w:rsidP="009978EE">
      <w:pPr>
        <w:pStyle w:val="NoSpacing"/>
        <w:jc w:val="both"/>
        <w:rPr>
          <w:rFonts w:ascii="Times New Roman" w:hAnsi="Times New Roman" w:cs="Times New Roman"/>
          <w:sz w:val="20"/>
          <w:szCs w:val="20"/>
        </w:rPr>
      </w:pPr>
    </w:p>
    <w:p w14:paraId="59B719C2" w14:textId="77777777" w:rsidR="009978EE" w:rsidRPr="009978EE" w:rsidRDefault="009978EE" w:rsidP="009978EE">
      <w:pPr>
        <w:pStyle w:val="NoSpacing"/>
        <w:jc w:val="both"/>
        <w:rPr>
          <w:rFonts w:ascii="Times New Roman" w:hAnsi="Times New Roman" w:cs="Times New Roman"/>
          <w:b/>
          <w:bCs/>
          <w:sz w:val="20"/>
          <w:szCs w:val="20"/>
        </w:rPr>
      </w:pPr>
      <w:r>
        <w:rPr>
          <w:rFonts w:ascii="Times New Roman" w:hAnsi="Times New Roman" w:cs="Times New Roman"/>
          <w:b/>
          <w:bCs/>
          <w:sz w:val="20"/>
          <w:szCs w:val="20"/>
        </w:rPr>
        <w:t>4</w:t>
      </w:r>
      <w:r w:rsidRPr="009978EE">
        <w:rPr>
          <w:rFonts w:ascii="Times New Roman" w:hAnsi="Times New Roman" w:cs="Times New Roman"/>
          <w:b/>
          <w:bCs/>
          <w:sz w:val="20"/>
          <w:szCs w:val="20"/>
        </w:rPr>
        <w:t>.3 Performance Attribution and Comparative Analysis</w:t>
      </w:r>
    </w:p>
    <w:p w14:paraId="60640E20" w14:textId="77777777"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The superior performance of the proposed model, as measured by a 22.7% higher Sharpe Ratio and a 18.3% lower Maximum Drawdown compared to the best baseline (Attention Fusion), can be directly attributed to the dynamic fusion mechanism. The ablation study further confirmed this, showing that the static fusion variants of our architecture performed no better than the established baselines [5], [15]. This isolates the dynamic weighting as the source of performance alpha.</w:t>
      </w:r>
    </w:p>
    <w:p w14:paraId="797EDBFB" w14:textId="77777777"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 xml:space="preserve">The framework's success also hinges on the careful, domain-specific preprocessing highlighted in the methodology. The fine-tuning of the </w:t>
      </w:r>
      <w:proofErr w:type="spellStart"/>
      <w:r w:rsidRPr="009978EE">
        <w:rPr>
          <w:rFonts w:ascii="Times New Roman" w:hAnsi="Times New Roman" w:cs="Times New Roman"/>
          <w:sz w:val="20"/>
          <w:szCs w:val="20"/>
        </w:rPr>
        <w:t>FinBERT</w:t>
      </w:r>
      <w:proofErr w:type="spellEnd"/>
      <w:r w:rsidRPr="009978EE">
        <w:rPr>
          <w:rFonts w:ascii="Times New Roman" w:hAnsi="Times New Roman" w:cs="Times New Roman"/>
          <w:sz w:val="20"/>
          <w:szCs w:val="20"/>
        </w:rPr>
        <w:t xml:space="preserve"> model on Indian financial text was crucial for generating a high-quality sentiment signal, addressing the domain-adaptation problem often overlooked when applying general-purpose LLMs [23]. Furthermore, the distribution-aware normalization prevented the India VIX's heavy-tailed distribution from unduly influencing the model, a preprocessing rigor absent in several reviewed studies [33].</w:t>
      </w:r>
    </w:p>
    <w:p w14:paraId="12CA1DC7" w14:textId="77777777" w:rsid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Figure 3 provides a consolidated view of the model's performance against the Nifty 50, illustrating not just directional accuracy but also the risk-mitigating effect of dynamic fusion during downturns.</w:t>
      </w:r>
    </w:p>
    <w:p w14:paraId="6EE51CDA" w14:textId="77777777" w:rsidR="009978EE" w:rsidRPr="009978EE" w:rsidRDefault="009978EE" w:rsidP="009978EE">
      <w:pPr>
        <w:pStyle w:val="NoSpacing"/>
        <w:jc w:val="both"/>
        <w:rPr>
          <w:rFonts w:ascii="Times New Roman" w:hAnsi="Times New Roman" w:cs="Times New Roman"/>
          <w:sz w:val="20"/>
          <w:szCs w:val="20"/>
        </w:rPr>
      </w:pPr>
    </w:p>
    <w:p w14:paraId="6690D4EC" w14:textId="77777777" w:rsidR="009978EE" w:rsidRDefault="009978EE" w:rsidP="009978EE">
      <w:pPr>
        <w:pStyle w:val="NoSpacing"/>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D969BBD" wp14:editId="6DD7CC40">
            <wp:extent cx="4400550" cy="3136355"/>
            <wp:effectExtent l="0" t="0" r="0" b="6985"/>
            <wp:docPr id="1046906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06217" name="Picture 1046906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3229" cy="3138264"/>
                    </a:xfrm>
                    <a:prstGeom prst="rect">
                      <a:avLst/>
                    </a:prstGeom>
                  </pic:spPr>
                </pic:pic>
              </a:graphicData>
            </a:graphic>
          </wp:inline>
        </w:drawing>
      </w:r>
    </w:p>
    <w:p w14:paraId="5D455A25" w14:textId="77777777" w:rsidR="009978EE" w:rsidRPr="009978EE" w:rsidRDefault="009978EE" w:rsidP="009978EE">
      <w:pPr>
        <w:pStyle w:val="NoSpacing"/>
        <w:jc w:val="center"/>
        <w:rPr>
          <w:rFonts w:ascii="Times New Roman" w:hAnsi="Times New Roman" w:cs="Times New Roman"/>
          <w:sz w:val="20"/>
          <w:szCs w:val="20"/>
        </w:rPr>
      </w:pPr>
      <w:r w:rsidRPr="009978EE">
        <w:rPr>
          <w:rFonts w:ascii="Times New Roman" w:hAnsi="Times New Roman" w:cs="Times New Roman"/>
          <w:sz w:val="20"/>
          <w:szCs w:val="20"/>
        </w:rPr>
        <w:t>Figure 3. Performance and Risk Analysis of the Dynamic Fusion Strategy.</w:t>
      </w:r>
    </w:p>
    <w:p w14:paraId="48A0134F" w14:textId="77777777" w:rsidR="009978EE" w:rsidRPr="009978EE" w:rsidRDefault="009978EE" w:rsidP="009978EE">
      <w:pPr>
        <w:pStyle w:val="NoSpacing"/>
        <w:jc w:val="both"/>
        <w:rPr>
          <w:rFonts w:ascii="Times New Roman" w:hAnsi="Times New Roman" w:cs="Times New Roman"/>
          <w:sz w:val="20"/>
          <w:szCs w:val="20"/>
        </w:rPr>
      </w:pPr>
      <w:r w:rsidRPr="009978EE">
        <w:rPr>
          <w:rFonts w:ascii="Times New Roman" w:hAnsi="Times New Roman" w:cs="Times New Roman"/>
          <w:sz w:val="20"/>
          <w:szCs w:val="20"/>
        </w:rPr>
        <w:t xml:space="preserve">(a) The cumulative returns of a simple strategy based on the proposed model's forecasts compared to a passive Nifty 50 Buy &amp; Hold strategy. While both strategies grow, the dynamic fusion strategy shows more consistent growth. (b) The drawdown profile of both strategies. The proposed framework demonstrates a significant </w:t>
      </w:r>
      <w:r w:rsidRPr="009978EE">
        <w:rPr>
          <w:rFonts w:ascii="Times New Roman" w:hAnsi="Times New Roman" w:cs="Times New Roman"/>
          <w:sz w:val="20"/>
          <w:szCs w:val="20"/>
        </w:rPr>
        <w:lastRenderedPageBreak/>
        <w:t>reduction in the depth and duration of drawdowns, particularly during the highlighted bear market period. This is a direct consequence of its dynamic risk-off mechanism, where increased uncertainty in bullish signals (e.g., technical indicators) during a downturn leads to a more defensive posture, thereby preserving capital more effectively than static models.</w:t>
      </w:r>
    </w:p>
    <w:p w14:paraId="40119DAF" w14:textId="77777777" w:rsidR="009978EE" w:rsidRDefault="009978EE" w:rsidP="002B2C4F">
      <w:pPr>
        <w:pStyle w:val="NoSpacing"/>
        <w:jc w:val="both"/>
        <w:rPr>
          <w:rFonts w:ascii="Times New Roman" w:hAnsi="Times New Roman" w:cs="Times New Roman"/>
          <w:sz w:val="20"/>
          <w:szCs w:val="20"/>
        </w:rPr>
      </w:pPr>
    </w:p>
    <w:p w14:paraId="7EDB1032" w14:textId="77777777" w:rsidR="00B868E7" w:rsidRDefault="00B868E7" w:rsidP="00B868E7">
      <w:pPr>
        <w:pStyle w:val="NoSpacing"/>
        <w:numPr>
          <w:ilvl w:val="0"/>
          <w:numId w:val="3"/>
        </w:numPr>
        <w:jc w:val="both"/>
        <w:rPr>
          <w:rFonts w:ascii="Times New Roman" w:hAnsi="Times New Roman" w:cs="Times New Roman"/>
          <w:b/>
          <w:bCs/>
        </w:rPr>
      </w:pPr>
      <w:r>
        <w:rPr>
          <w:rFonts w:ascii="Times New Roman" w:hAnsi="Times New Roman" w:cs="Times New Roman"/>
          <w:b/>
          <w:bCs/>
        </w:rPr>
        <w:t>Conclusion and future work</w:t>
      </w:r>
    </w:p>
    <w:p w14:paraId="35095543" w14:textId="77777777"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This research has successfully addressed a fundamental limitation in the current state-of-the-art of multi-source financial forecasting: the pervasive use of static data fusion mechanisms. Through a rigorous analysis of the literature [3], [5], [8], [15], [35], we established that while the integration of diverse data sources like technical indicators, news sentiment, and alternative data is now commonplace, the methods for combining them—whether early fusion, late fusion, or static attention—remain fundamentally rigid. These approaches operate under the flawed assumption of constant inter-source relationships, rendering them ill-suited for the non-stationary, regime-switching nature of financial markets.</w:t>
      </w:r>
    </w:p>
    <w:p w14:paraId="4218B1FF" w14:textId="77777777" w:rsidR="00B868E7" w:rsidRPr="00B868E7" w:rsidRDefault="00B868E7" w:rsidP="00B868E7">
      <w:pPr>
        <w:pStyle w:val="NoSpacing"/>
        <w:jc w:val="both"/>
        <w:rPr>
          <w:rFonts w:ascii="Times New Roman" w:hAnsi="Times New Roman" w:cs="Times New Roman"/>
          <w:sz w:val="20"/>
          <w:szCs w:val="20"/>
        </w:rPr>
      </w:pPr>
    </w:p>
    <w:p w14:paraId="4871687D" w14:textId="77777777"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The proposed Dynamic Uncertainty-Weighted Fusion Framework represents a paradigm shift. By introducing the explicit, time-varying quantification of predictive uncertainty (</w:t>
      </w:r>
      <m:oMath>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i,t</m:t>
            </m:r>
          </m:sub>
          <m:sup>
            <m:r>
              <w:rPr>
                <w:rFonts w:ascii="Cambria Math" w:hAnsi="Cambria Math" w:cs="Times New Roman"/>
                <w:sz w:val="20"/>
                <w:szCs w:val="20"/>
              </w:rPr>
              <m:t>2</m:t>
            </m:r>
          </m:sup>
        </m:sSubSup>
      </m:oMath>
      <w:r w:rsidRPr="00B868E7">
        <w:rPr>
          <w:rFonts w:ascii="Times New Roman" w:hAnsi="Times New Roman" w:cs="Times New Roman"/>
          <w:sz w:val="20"/>
          <w:szCs w:val="20"/>
        </w:rPr>
        <w:t>) for each data source and leveraging a Bayesian softmax weighting scheme, the framework enables a dynamic, adaptive, and intelligent fusion process. The empirical validation on the Indian Nifty 50 dataset demonstrated that this is not a marginal improvement but a foundational advancement. The model's ability to autonomously shift its reliance from technical indicators to volatility-based signals during market turmoil, and vice-versa during stable trends, was the direct cause of its superior performance—yielding a 22.7% higher Sharpe Ratio and an 18.3% reduction in Maximum Drawdown compared to the best static fusion baseline.</w:t>
      </w:r>
    </w:p>
    <w:p w14:paraId="41C26FFB" w14:textId="77777777" w:rsidR="00B868E7" w:rsidRPr="00B868E7" w:rsidRDefault="00B868E7" w:rsidP="00B868E7">
      <w:pPr>
        <w:pStyle w:val="NoSpacing"/>
        <w:jc w:val="both"/>
        <w:rPr>
          <w:rFonts w:ascii="Times New Roman" w:hAnsi="Times New Roman" w:cs="Times New Roman"/>
          <w:sz w:val="20"/>
          <w:szCs w:val="20"/>
        </w:rPr>
      </w:pPr>
    </w:p>
    <w:p w14:paraId="5B4ED197" w14:textId="77777777" w:rsid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 xml:space="preserve">The implications of this work are threefold. First, it establishes uncertainty-aware </w:t>
      </w:r>
      <w:proofErr w:type="spellStart"/>
      <w:r w:rsidRPr="00B868E7">
        <w:rPr>
          <w:rFonts w:ascii="Times New Roman" w:hAnsi="Times New Roman" w:cs="Times New Roman"/>
          <w:sz w:val="20"/>
          <w:szCs w:val="20"/>
        </w:rPr>
        <w:t>modeling</w:t>
      </w:r>
      <w:proofErr w:type="spellEnd"/>
      <w:r w:rsidRPr="00B868E7">
        <w:rPr>
          <w:rFonts w:ascii="Times New Roman" w:hAnsi="Times New Roman" w:cs="Times New Roman"/>
          <w:sz w:val="20"/>
          <w:szCs w:val="20"/>
        </w:rPr>
        <w:t xml:space="preserve"> as a critical, non-negotiable component of robust financial machine learning, moving beyond mere point prediction. Second, it provides a methodological blueprint for moving from what data to fuse to how to fuse it intelligently in real-time. Finally, it highlights that superior performance is achieved not by more complex monolithic architectures, but through a principled, modular system where specialized "expert" networks are governed by a meta-fusion layer that continuously assesses their moment-to-moment reliability.</w:t>
      </w:r>
    </w:p>
    <w:p w14:paraId="79CB6CC9" w14:textId="77777777" w:rsidR="00B868E7" w:rsidRDefault="00B868E7" w:rsidP="00B868E7">
      <w:pPr>
        <w:pStyle w:val="NoSpacing"/>
        <w:jc w:val="both"/>
        <w:rPr>
          <w:rFonts w:ascii="Times New Roman" w:hAnsi="Times New Roman" w:cs="Times New Roman"/>
          <w:sz w:val="20"/>
          <w:szCs w:val="20"/>
        </w:rPr>
      </w:pPr>
    </w:p>
    <w:p w14:paraId="0C19608C" w14:textId="77777777" w:rsidR="00B868E7" w:rsidRPr="00B868E7" w:rsidRDefault="00B868E7" w:rsidP="00B868E7">
      <w:pPr>
        <w:pStyle w:val="NoSpacing"/>
        <w:jc w:val="both"/>
        <w:rPr>
          <w:rFonts w:ascii="Times New Roman" w:hAnsi="Times New Roman" w:cs="Times New Roman"/>
          <w:b/>
          <w:bCs/>
          <w:sz w:val="20"/>
          <w:szCs w:val="20"/>
        </w:rPr>
      </w:pPr>
      <w:r>
        <w:rPr>
          <w:rFonts w:ascii="Times New Roman" w:hAnsi="Times New Roman" w:cs="Times New Roman"/>
          <w:b/>
          <w:bCs/>
          <w:sz w:val="20"/>
          <w:szCs w:val="20"/>
        </w:rPr>
        <w:t>5</w:t>
      </w:r>
      <w:r w:rsidRPr="00B868E7">
        <w:rPr>
          <w:rFonts w:ascii="Times New Roman" w:hAnsi="Times New Roman" w:cs="Times New Roman"/>
          <w:b/>
          <w:bCs/>
          <w:sz w:val="20"/>
          <w:szCs w:val="20"/>
        </w:rPr>
        <w:t>.1 Future Work</w:t>
      </w:r>
    </w:p>
    <w:p w14:paraId="44998259" w14:textId="77777777"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While this framework marks a significant step forward, it opens several promising avenues for future research:</w:t>
      </w:r>
    </w:p>
    <w:p w14:paraId="502A5F9B" w14:textId="77777777"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Advanced Uncertainty Quantification: The current method uses a rolling-window historical error variance as a proxy for uncertainty. A more theoretically sound approach would be to implement proper Bayesian Neural Networks (BNNs) for each source model [4]. This would allow for the estimation of </w:t>
      </w:r>
      <w:r w:rsidRPr="00B868E7">
        <w:rPr>
          <w:rFonts w:ascii="Times New Roman" w:hAnsi="Times New Roman" w:cs="Times New Roman"/>
          <w:i/>
          <w:iCs/>
          <w:sz w:val="20"/>
          <w:szCs w:val="20"/>
        </w:rPr>
        <w:t>epistemic</w:t>
      </w:r>
      <w:r w:rsidRPr="00B868E7">
        <w:rPr>
          <w:rFonts w:ascii="Times New Roman" w:hAnsi="Times New Roman" w:cs="Times New Roman"/>
          <w:sz w:val="20"/>
          <w:szCs w:val="20"/>
        </w:rPr>
        <w:t> (model) uncertainty in addition to the </w:t>
      </w:r>
      <w:r w:rsidRPr="00B868E7">
        <w:rPr>
          <w:rFonts w:ascii="Times New Roman" w:hAnsi="Times New Roman" w:cs="Times New Roman"/>
          <w:i/>
          <w:iCs/>
          <w:sz w:val="20"/>
          <w:szCs w:val="20"/>
        </w:rPr>
        <w:t>aleatoric</w:t>
      </w:r>
      <w:r w:rsidRPr="00B868E7">
        <w:rPr>
          <w:rFonts w:ascii="Times New Roman" w:hAnsi="Times New Roman" w:cs="Times New Roman"/>
          <w:sz w:val="20"/>
          <w:szCs w:val="20"/>
        </w:rPr>
        <w:t> (data) uncertainty captured currently, providing a richer and more nuanced confidence measure for the fusion process.</w:t>
      </w:r>
    </w:p>
    <w:p w14:paraId="04A29DE5" w14:textId="77777777"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Reinforcement Learning for Direct Policy Optimization: The current work focuses on return prediction. A logical and impactful extension is to integrate the fusion framework with a Deep Reinforcement Learning (DRL) agent [9], [20]. The dynamic fusion mechanism would serve as the state-of-the-art environment perception module, whose outputs (predictions and uncertainties) inform the DRL agent's trading decisions (e.g., position sizing, entry/exit). This would create an end-to-end system that directly optimizes for risk-adjusted portfolio returns rather than predictive accuracy alone.</w:t>
      </w:r>
    </w:p>
    <w:p w14:paraId="6D9012D6" w14:textId="77777777"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Cross-Market Generalization and Robustness Testing: The model was validated on the Indian equity market. A critical test of its generalizability would be to apply it to other markets with different characteristics, such as developed markets (S&amp;P 500, EURO STOXX 50) or other emerging markets [27], including cryptocurrencies [10]. This would stress-test the framework's adaptability to different volatility regimes, data availability, and market microstructures.</w:t>
      </w:r>
    </w:p>
    <w:p w14:paraId="4B2F81DE" w14:textId="77777777"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Incorporation of Macro-Financial Regime Labels: The model currently infers regimes implicitly through uncertainty. Future work could explicitly incorporate macroeconomic regime indicators (e.g., NBER recession dates, RBI monetary policy stances) as conditioning variables or as a prior in the Bayesian weighting scheme. This could potentially lead to more anticipatory rather than reactive regime adaptation.</w:t>
      </w:r>
    </w:p>
    <w:p w14:paraId="789611AA" w14:textId="77777777" w:rsidR="00B868E7" w:rsidRPr="00B868E7" w:rsidRDefault="00B868E7" w:rsidP="00B868E7">
      <w:pPr>
        <w:pStyle w:val="NoSpacing"/>
        <w:numPr>
          <w:ilvl w:val="0"/>
          <w:numId w:val="4"/>
        </w:numPr>
        <w:jc w:val="both"/>
        <w:rPr>
          <w:rFonts w:ascii="Times New Roman" w:hAnsi="Times New Roman" w:cs="Times New Roman"/>
          <w:sz w:val="20"/>
          <w:szCs w:val="20"/>
        </w:rPr>
      </w:pPr>
      <w:r w:rsidRPr="00B868E7">
        <w:rPr>
          <w:rFonts w:ascii="Times New Roman" w:hAnsi="Times New Roman" w:cs="Times New Roman"/>
          <w:sz w:val="20"/>
          <w:szCs w:val="20"/>
        </w:rPr>
        <w:t>High-Frequency and Intra-Day Application: This study operated on a daily frequency. Applying the same principles to high-frequency trading (HFT) or intra-day forecasting presents a compelling challenge. This would require solving significant engineering and methodological hurdles related to the speed of uncertainty estimation and the fusion of data streams arriving at millisecond frequencies, pushing the boundaries of real-time adaptive finance.</w:t>
      </w:r>
    </w:p>
    <w:p w14:paraId="303095CE" w14:textId="77777777"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 xml:space="preserve">In conclusion, this research demonstrates that the next frontier in financial machine learning is not in the proliferation of data sources, but in the sophistication of the fusion logic that binds them. By formally </w:t>
      </w:r>
      <w:r w:rsidRPr="00B868E7">
        <w:rPr>
          <w:rFonts w:ascii="Times New Roman" w:hAnsi="Times New Roman" w:cs="Times New Roman"/>
          <w:sz w:val="20"/>
          <w:szCs w:val="20"/>
        </w:rPr>
        <w:lastRenderedPageBreak/>
        <w:t xml:space="preserve">acknowledging and </w:t>
      </w:r>
      <w:proofErr w:type="spellStart"/>
      <w:r w:rsidRPr="00B868E7">
        <w:rPr>
          <w:rFonts w:ascii="Times New Roman" w:hAnsi="Times New Roman" w:cs="Times New Roman"/>
          <w:sz w:val="20"/>
          <w:szCs w:val="20"/>
        </w:rPr>
        <w:t>modeling</w:t>
      </w:r>
      <w:proofErr w:type="spellEnd"/>
      <w:r w:rsidRPr="00B868E7">
        <w:rPr>
          <w:rFonts w:ascii="Times New Roman" w:hAnsi="Times New Roman" w:cs="Times New Roman"/>
          <w:sz w:val="20"/>
          <w:szCs w:val="20"/>
        </w:rPr>
        <w:t xml:space="preserve"> the time-varying uncertainty inherent in financial data streams, we have moved closer to building forecasting systems that are not just powerful, but also prudent and adaptable—a necessary evolution for navigating the complex and ever-changing landscape of global finance.</w:t>
      </w:r>
    </w:p>
    <w:p w14:paraId="52EFBACE" w14:textId="77777777" w:rsidR="00B868E7" w:rsidRDefault="00B868E7" w:rsidP="00B868E7">
      <w:pPr>
        <w:pStyle w:val="NoSpacing"/>
        <w:jc w:val="both"/>
        <w:rPr>
          <w:rFonts w:ascii="Times New Roman" w:hAnsi="Times New Roman" w:cs="Times New Roman"/>
          <w:sz w:val="20"/>
          <w:szCs w:val="20"/>
        </w:rPr>
      </w:pPr>
    </w:p>
    <w:p w14:paraId="51DE48CD" w14:textId="77777777"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b/>
          <w:bCs/>
          <w:sz w:val="20"/>
          <w:szCs w:val="20"/>
        </w:rPr>
        <w:t xml:space="preserve">Acknowledgment </w:t>
      </w:r>
    </w:p>
    <w:p w14:paraId="579BC3C0" w14:textId="77777777" w:rsid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 xml:space="preserve">None. </w:t>
      </w:r>
    </w:p>
    <w:p w14:paraId="0DB19071" w14:textId="77777777" w:rsidR="00B868E7" w:rsidRPr="00B868E7" w:rsidRDefault="00B868E7" w:rsidP="00B868E7">
      <w:pPr>
        <w:pStyle w:val="NoSpacing"/>
        <w:jc w:val="both"/>
        <w:rPr>
          <w:rFonts w:ascii="Times New Roman" w:hAnsi="Times New Roman" w:cs="Times New Roman"/>
          <w:sz w:val="20"/>
          <w:szCs w:val="20"/>
        </w:rPr>
      </w:pPr>
    </w:p>
    <w:p w14:paraId="6FFF03E8" w14:textId="77777777" w:rsidR="00B868E7" w:rsidRP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b/>
          <w:bCs/>
          <w:sz w:val="20"/>
          <w:szCs w:val="20"/>
        </w:rPr>
        <w:t xml:space="preserve">Conflicts of interest </w:t>
      </w:r>
    </w:p>
    <w:p w14:paraId="2545D8B7" w14:textId="77777777" w:rsidR="00B868E7" w:rsidRDefault="00B868E7" w:rsidP="00B868E7">
      <w:pPr>
        <w:pStyle w:val="NoSpacing"/>
        <w:jc w:val="both"/>
        <w:rPr>
          <w:rFonts w:ascii="Times New Roman" w:hAnsi="Times New Roman" w:cs="Times New Roman"/>
          <w:sz w:val="20"/>
          <w:szCs w:val="20"/>
        </w:rPr>
      </w:pPr>
      <w:r w:rsidRPr="00B868E7">
        <w:rPr>
          <w:rFonts w:ascii="Times New Roman" w:hAnsi="Times New Roman" w:cs="Times New Roman"/>
          <w:sz w:val="20"/>
          <w:szCs w:val="20"/>
        </w:rPr>
        <w:t>The authors have no conflicts of interest to declare.</w:t>
      </w:r>
    </w:p>
    <w:p w14:paraId="03979AA8" w14:textId="77777777" w:rsidR="00B868E7" w:rsidRDefault="00B868E7" w:rsidP="00B868E7">
      <w:pPr>
        <w:pStyle w:val="NoSpacing"/>
        <w:jc w:val="both"/>
        <w:rPr>
          <w:rFonts w:ascii="Times New Roman" w:hAnsi="Times New Roman" w:cs="Times New Roman"/>
          <w:sz w:val="20"/>
          <w:szCs w:val="20"/>
        </w:rPr>
      </w:pPr>
    </w:p>
    <w:p w14:paraId="6A14DF05" w14:textId="77777777" w:rsidR="00B868E7" w:rsidRDefault="00B868E7" w:rsidP="00B868E7">
      <w:pPr>
        <w:pStyle w:val="NoSpacing"/>
        <w:jc w:val="both"/>
        <w:rPr>
          <w:rFonts w:ascii="Times New Roman" w:hAnsi="Times New Roman" w:cs="Times New Roman"/>
          <w:b/>
          <w:bCs/>
        </w:rPr>
      </w:pPr>
      <w:r w:rsidRPr="00B868E7">
        <w:rPr>
          <w:rFonts w:ascii="Times New Roman" w:hAnsi="Times New Roman" w:cs="Times New Roman"/>
          <w:b/>
          <w:bCs/>
        </w:rPr>
        <w:t>References</w:t>
      </w:r>
    </w:p>
    <w:p w14:paraId="3DBCA14D"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w:t>
      </w:r>
      <w:r w:rsidRPr="00B868E7">
        <w:rPr>
          <w:rFonts w:ascii="Times New Roman" w:hAnsi="Times New Roman" w:cs="Times New Roman"/>
          <w:kern w:val="0"/>
          <w:sz w:val="20"/>
          <w:szCs w:val="20"/>
        </w:rPr>
        <w:tab/>
        <w:t xml:space="preserve">J. W. Lee, J. Park, J. O, J. Lee, and E. Hong, “A Multiagent Approach to $Q$-Learning for Daily Stock Trading,” </w:t>
      </w:r>
      <w:r w:rsidRPr="00B868E7">
        <w:rPr>
          <w:rFonts w:ascii="Times New Roman" w:hAnsi="Times New Roman" w:cs="Times New Roman"/>
          <w:i/>
          <w:iCs/>
          <w:kern w:val="0"/>
          <w:sz w:val="20"/>
          <w:szCs w:val="20"/>
        </w:rPr>
        <w:t xml:space="preserve">IEEE Trans. Syst., Man, </w:t>
      </w:r>
      <w:proofErr w:type="spellStart"/>
      <w:r w:rsidRPr="00B868E7">
        <w:rPr>
          <w:rFonts w:ascii="Times New Roman" w:hAnsi="Times New Roman" w:cs="Times New Roman"/>
          <w:i/>
          <w:iCs/>
          <w:kern w:val="0"/>
          <w:sz w:val="20"/>
          <w:szCs w:val="20"/>
        </w:rPr>
        <w:t>Cybern</w:t>
      </w:r>
      <w:proofErr w:type="spellEnd"/>
      <w:r w:rsidRPr="00B868E7">
        <w:rPr>
          <w:rFonts w:ascii="Times New Roman" w:hAnsi="Times New Roman" w:cs="Times New Roman"/>
          <w:i/>
          <w:iCs/>
          <w:kern w:val="0"/>
          <w:sz w:val="20"/>
          <w:szCs w:val="20"/>
        </w:rPr>
        <w:t>. A</w:t>
      </w:r>
      <w:r w:rsidRPr="00B868E7">
        <w:rPr>
          <w:rFonts w:ascii="Times New Roman" w:hAnsi="Times New Roman" w:cs="Times New Roman"/>
          <w:kern w:val="0"/>
          <w:sz w:val="20"/>
          <w:szCs w:val="20"/>
        </w:rPr>
        <w:t xml:space="preserve">, vol. 37, no. 6, pp. 864–877, Nov. 2007,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10.1109/TSMCA.2007.904825.</w:t>
      </w:r>
    </w:p>
    <w:p w14:paraId="0884E2B0"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w:t>
      </w:r>
      <w:r w:rsidRPr="00B868E7">
        <w:rPr>
          <w:rFonts w:ascii="Times New Roman" w:hAnsi="Times New Roman" w:cs="Times New Roman"/>
          <w:kern w:val="0"/>
          <w:sz w:val="20"/>
          <w:szCs w:val="20"/>
        </w:rPr>
        <w:tab/>
        <w:t xml:space="preserve">G. Liu and X. Wang, “A Numerical-Based Attention Method for Stock Market Prediction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Dual Information,”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7, pp. 7357–7367, 2019,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10.1109/ACCESS.2018.2886367.</w:t>
      </w:r>
    </w:p>
    <w:p w14:paraId="6CF93A00"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w:t>
      </w:r>
      <w:r w:rsidRPr="00B868E7">
        <w:rPr>
          <w:rFonts w:ascii="Times New Roman" w:hAnsi="Times New Roman" w:cs="Times New Roman"/>
          <w:kern w:val="0"/>
          <w:sz w:val="20"/>
          <w:szCs w:val="20"/>
        </w:rPr>
        <w:tab/>
        <w:t xml:space="preserve">G. Mu, N. Gao, Y. Wang, and L. Dai, “A Stock Price Prediction Model Based on Investor Sentiment and Optimized Deep Learning,”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11, pp. 51353–51367, 2023,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10.1109/ACCESS.2023.3278790.</w:t>
      </w:r>
    </w:p>
    <w:p w14:paraId="3032F774"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[4]</w:t>
      </w:r>
      <w:r w:rsidRPr="00B868E7">
        <w:rPr>
          <w:rFonts w:ascii="Times New Roman" w:hAnsi="Times New Roman" w:cs="Times New Roman"/>
          <w:kern w:val="0"/>
          <w:sz w:val="20"/>
          <w:szCs w:val="20"/>
        </w:rPr>
        <w:tab/>
        <w:t xml:space="preserve">P. </w:t>
      </w:r>
      <w:proofErr w:type="spellStart"/>
      <w:r w:rsidRPr="00B868E7">
        <w:rPr>
          <w:rFonts w:ascii="Times New Roman" w:hAnsi="Times New Roman" w:cs="Times New Roman"/>
          <w:kern w:val="0"/>
          <w:sz w:val="20"/>
          <w:szCs w:val="20"/>
        </w:rPr>
        <w:t>Khuwaja</w:t>
      </w:r>
      <w:proofErr w:type="spellEnd"/>
      <w:r w:rsidRPr="00B868E7">
        <w:rPr>
          <w:rFonts w:ascii="Times New Roman" w:hAnsi="Times New Roman" w:cs="Times New Roman"/>
          <w:kern w:val="0"/>
          <w:sz w:val="20"/>
          <w:szCs w:val="20"/>
        </w:rPr>
        <w:t xml:space="preserve">, S. A. Khowaja, and K. Dev, “Adversarial Learning Networks for FinTech Applications Using Heterogeneous Data Sources,” </w:t>
      </w:r>
      <w:r w:rsidRPr="00B868E7">
        <w:rPr>
          <w:rFonts w:ascii="Times New Roman" w:hAnsi="Times New Roman" w:cs="Times New Roman"/>
          <w:i/>
          <w:iCs/>
          <w:kern w:val="0"/>
          <w:sz w:val="20"/>
          <w:szCs w:val="20"/>
        </w:rPr>
        <w:t>IEEE Internet Things J.</w:t>
      </w:r>
      <w:r w:rsidRPr="00B868E7">
        <w:rPr>
          <w:rFonts w:ascii="Times New Roman" w:hAnsi="Times New Roman" w:cs="Times New Roman"/>
          <w:kern w:val="0"/>
          <w:sz w:val="20"/>
          <w:szCs w:val="20"/>
        </w:rPr>
        <w:t xml:space="preserve">, vol. 10, no. 3, pp. 2194–2201, Feb. 2023,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10.1109/JIOT.2021.3100742.</w:t>
      </w:r>
    </w:p>
    <w:p w14:paraId="2E4BF4E2"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[5]</w:t>
      </w:r>
      <w:r w:rsidRPr="00B868E7">
        <w:rPr>
          <w:rFonts w:ascii="Times New Roman" w:hAnsi="Times New Roman" w:cs="Times New Roman"/>
          <w:kern w:val="0"/>
          <w:sz w:val="20"/>
          <w:szCs w:val="20"/>
        </w:rPr>
        <w:tab/>
        <w:t xml:space="preserve">S. </w:t>
      </w:r>
      <w:proofErr w:type="spellStart"/>
      <w:r w:rsidRPr="00B868E7">
        <w:rPr>
          <w:rFonts w:ascii="Times New Roman" w:hAnsi="Times New Roman" w:cs="Times New Roman"/>
          <w:kern w:val="0"/>
          <w:sz w:val="20"/>
          <w:szCs w:val="20"/>
        </w:rPr>
        <w:t>Anbaee</w:t>
      </w:r>
      <w:proofErr w:type="spellEnd"/>
      <w:r w:rsidRPr="00B868E7">
        <w:rPr>
          <w:rFonts w:ascii="Times New Roman" w:hAnsi="Times New Roman" w:cs="Times New Roman"/>
          <w:kern w:val="0"/>
          <w:sz w:val="20"/>
          <w:szCs w:val="20"/>
        </w:rPr>
        <w:t xml:space="preserve"> Farimani, M. V. Jahan, and A. Milani Fard, “An Adaptive Multimodal Learning Model for Financial Market Price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121846–121863,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10.1109/ACCESS.2024.3441029.</w:t>
      </w:r>
    </w:p>
    <w:p w14:paraId="32FE507A"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[6]</w:t>
      </w:r>
      <w:r w:rsidRPr="00B868E7">
        <w:rPr>
          <w:rFonts w:ascii="Times New Roman" w:hAnsi="Times New Roman" w:cs="Times New Roman"/>
          <w:kern w:val="0"/>
          <w:sz w:val="20"/>
          <w:szCs w:val="20"/>
        </w:rPr>
        <w:tab/>
        <w:t xml:space="preserve">Q. Huang, J. Yang, X. Feng, A. W.-C. Liew, and X. Li, “Automated Trading Point Forecasting Based on </w:t>
      </w:r>
      <w:proofErr w:type="spellStart"/>
      <w:r w:rsidRPr="00B868E7">
        <w:rPr>
          <w:rFonts w:ascii="Times New Roman" w:hAnsi="Times New Roman" w:cs="Times New Roman"/>
          <w:kern w:val="0"/>
          <w:sz w:val="20"/>
          <w:szCs w:val="20"/>
        </w:rPr>
        <w:t>Bicluster</w:t>
      </w:r>
      <w:proofErr w:type="spellEnd"/>
      <w:r w:rsidRPr="00B868E7">
        <w:rPr>
          <w:rFonts w:ascii="Times New Roman" w:hAnsi="Times New Roman" w:cs="Times New Roman"/>
          <w:kern w:val="0"/>
          <w:sz w:val="20"/>
          <w:szCs w:val="20"/>
        </w:rPr>
        <w:t xml:space="preserve"> Mining and Fuzzy Inference,” </w:t>
      </w:r>
      <w:r w:rsidRPr="00B868E7">
        <w:rPr>
          <w:rFonts w:ascii="Times New Roman" w:hAnsi="Times New Roman" w:cs="Times New Roman"/>
          <w:i/>
          <w:iCs/>
          <w:kern w:val="0"/>
          <w:sz w:val="20"/>
          <w:szCs w:val="20"/>
        </w:rPr>
        <w:t>IEEE Trans. Fuzzy Syst.</w:t>
      </w:r>
      <w:r w:rsidRPr="00B868E7">
        <w:rPr>
          <w:rFonts w:ascii="Times New Roman" w:hAnsi="Times New Roman" w:cs="Times New Roman"/>
          <w:kern w:val="0"/>
          <w:sz w:val="20"/>
          <w:szCs w:val="20"/>
        </w:rPr>
        <w:t xml:space="preserve">, vol. 28, no. 2, pp. 259–272, Feb.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10.1109/TFUZZ.2019.2904920.</w:t>
      </w:r>
    </w:p>
    <w:p w14:paraId="61623202"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[7]</w:t>
      </w:r>
      <w:r w:rsidRPr="00B868E7">
        <w:rPr>
          <w:rFonts w:ascii="Times New Roman" w:hAnsi="Times New Roman" w:cs="Times New Roman"/>
          <w:kern w:val="0"/>
          <w:sz w:val="20"/>
          <w:szCs w:val="20"/>
        </w:rPr>
        <w:tab/>
        <w:t xml:space="preserve">G. Vargas, L. Silvestre, L. Rigo Júnior, and H. Rocha, “B3 Stock Price Prediction Using LSTM Neural Networks and Sentiment Analysis,” </w:t>
      </w:r>
      <w:r w:rsidRPr="00B868E7">
        <w:rPr>
          <w:rFonts w:ascii="Times New Roman" w:hAnsi="Times New Roman" w:cs="Times New Roman"/>
          <w:i/>
          <w:iCs/>
          <w:kern w:val="0"/>
          <w:sz w:val="20"/>
          <w:szCs w:val="20"/>
        </w:rPr>
        <w:t>IEEE Latin Am. Trans.</w:t>
      </w:r>
      <w:r w:rsidRPr="00B868E7">
        <w:rPr>
          <w:rFonts w:ascii="Times New Roman" w:hAnsi="Times New Roman" w:cs="Times New Roman"/>
          <w:kern w:val="0"/>
          <w:sz w:val="20"/>
          <w:szCs w:val="20"/>
        </w:rPr>
        <w:t xml:space="preserve">, vol. 20, no. 7, pp. 1067–1074, July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10.1109/TLA.2021.9827469.</w:t>
      </w:r>
    </w:p>
    <w:p w14:paraId="0F2560D4"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[8]</w:t>
      </w:r>
      <w:r w:rsidRPr="00B868E7">
        <w:rPr>
          <w:rFonts w:ascii="Times New Roman" w:hAnsi="Times New Roman" w:cs="Times New Roman"/>
          <w:kern w:val="0"/>
          <w:sz w:val="20"/>
          <w:szCs w:val="20"/>
        </w:rPr>
        <w:tab/>
        <w:t xml:space="preserve">C. Zhang, N. N. A. </w:t>
      </w:r>
      <w:proofErr w:type="spellStart"/>
      <w:r w:rsidRPr="00B868E7">
        <w:rPr>
          <w:rFonts w:ascii="Times New Roman" w:hAnsi="Times New Roman" w:cs="Times New Roman"/>
          <w:kern w:val="0"/>
          <w:sz w:val="20"/>
          <w:szCs w:val="20"/>
        </w:rPr>
        <w:t>Sjarif</w:t>
      </w:r>
      <w:proofErr w:type="spellEnd"/>
      <w:r w:rsidRPr="00B868E7">
        <w:rPr>
          <w:rFonts w:ascii="Times New Roman" w:hAnsi="Times New Roman" w:cs="Times New Roman"/>
          <w:kern w:val="0"/>
          <w:sz w:val="20"/>
          <w:szCs w:val="20"/>
        </w:rPr>
        <w:t xml:space="preserve">, and R. B. Ibrahim, “Decision Fusion for Stock Market Prediction: A Systematic Review,”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81364–81379,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10.1109/ACCESS.2022.3195942.</w:t>
      </w:r>
    </w:p>
    <w:p w14:paraId="28006049"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[9]</w:t>
      </w:r>
      <w:r w:rsidRPr="00B868E7">
        <w:rPr>
          <w:rFonts w:ascii="Times New Roman" w:hAnsi="Times New Roman" w:cs="Times New Roman"/>
          <w:kern w:val="0"/>
          <w:sz w:val="20"/>
          <w:szCs w:val="20"/>
        </w:rPr>
        <w:tab/>
        <w:t xml:space="preserve">T. Kabbani and E. Duman, “Deep Reinforcement Learning Approach for Trading Automation in the Stock Market,”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93564–93574,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10.1109/ACCESS.2022.3203697.</w:t>
      </w:r>
    </w:p>
    <w:p w14:paraId="317A9DFF"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[10]</w:t>
      </w:r>
      <w:r w:rsidRPr="00B868E7">
        <w:rPr>
          <w:rFonts w:ascii="Times New Roman" w:hAnsi="Times New Roman" w:cs="Times New Roman"/>
          <w:kern w:val="0"/>
          <w:sz w:val="20"/>
          <w:szCs w:val="20"/>
        </w:rPr>
        <w:tab/>
        <w:t xml:space="preserve">R. Parekh </w:t>
      </w:r>
      <w:r w:rsidRPr="00B868E7">
        <w:rPr>
          <w:rFonts w:ascii="Times New Roman" w:hAnsi="Times New Roman" w:cs="Times New Roman"/>
          <w:i/>
          <w:iCs/>
          <w:kern w:val="0"/>
          <w:sz w:val="20"/>
          <w:szCs w:val="20"/>
        </w:rPr>
        <w:t>et al.</w:t>
      </w:r>
      <w:r w:rsidRPr="00B868E7">
        <w:rPr>
          <w:rFonts w:ascii="Times New Roman" w:hAnsi="Times New Roman" w:cs="Times New Roman"/>
          <w:kern w:val="0"/>
          <w:sz w:val="20"/>
          <w:szCs w:val="20"/>
        </w:rPr>
        <w:t>, “</w:t>
      </w:r>
      <w:r w:rsidRPr="00B868E7">
        <w:rPr>
          <w:rFonts w:ascii="Times New Roman" w:hAnsi="Times New Roman" w:cs="Times New Roman"/>
          <w:i/>
          <w:iCs/>
          <w:kern w:val="0"/>
          <w:sz w:val="20"/>
          <w:szCs w:val="20"/>
        </w:rPr>
        <w:t>DL-</w:t>
      </w:r>
      <w:proofErr w:type="spellStart"/>
      <w:proofErr w:type="gramStart"/>
      <w:r w:rsidRPr="00B868E7">
        <w:rPr>
          <w:rFonts w:ascii="Times New Roman" w:hAnsi="Times New Roman" w:cs="Times New Roman"/>
          <w:i/>
          <w:iCs/>
          <w:kern w:val="0"/>
          <w:sz w:val="20"/>
          <w:szCs w:val="20"/>
        </w:rPr>
        <w:t>GuesS</w:t>
      </w:r>
      <w:proofErr w:type="spellEnd"/>
      <w:r w:rsidRPr="00B868E7">
        <w:rPr>
          <w:rFonts w:ascii="Times New Roman" w:hAnsi="Times New Roman" w:cs="Times New Roman"/>
          <w:kern w:val="0"/>
          <w:sz w:val="20"/>
          <w:szCs w:val="20"/>
        </w:rPr>
        <w:t> :</w:t>
      </w:r>
      <w:proofErr w:type="gramEnd"/>
      <w:r w:rsidRPr="00B868E7">
        <w:rPr>
          <w:rFonts w:ascii="Times New Roman" w:hAnsi="Times New Roman" w:cs="Times New Roman"/>
          <w:kern w:val="0"/>
          <w:sz w:val="20"/>
          <w:szCs w:val="20"/>
        </w:rPr>
        <w:t xml:space="preserve"> Deep Learning and Sentiment Analysis-Based Cryptocurrency Price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35398–35409,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10.1109/ACCESS.2022.3163305.</w:t>
      </w:r>
    </w:p>
    <w:p w14:paraId="480C126F"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[11]</w:t>
      </w:r>
      <w:r w:rsidRPr="00B868E7">
        <w:rPr>
          <w:rFonts w:ascii="Times New Roman" w:hAnsi="Times New Roman" w:cs="Times New Roman"/>
          <w:kern w:val="0"/>
          <w:sz w:val="20"/>
          <w:szCs w:val="20"/>
        </w:rPr>
        <w:tab/>
        <w:t xml:space="preserve">F. M. M. </w:t>
      </w:r>
      <w:proofErr w:type="spellStart"/>
      <w:r w:rsidRPr="00B868E7">
        <w:rPr>
          <w:rFonts w:ascii="Times New Roman" w:hAnsi="Times New Roman" w:cs="Times New Roman"/>
          <w:kern w:val="0"/>
          <w:sz w:val="20"/>
          <w:szCs w:val="20"/>
        </w:rPr>
        <w:t>Alsheebah</w:t>
      </w:r>
      <w:proofErr w:type="spellEnd"/>
      <w:r w:rsidRPr="00B868E7">
        <w:rPr>
          <w:rFonts w:ascii="Times New Roman" w:hAnsi="Times New Roman" w:cs="Times New Roman"/>
          <w:kern w:val="0"/>
          <w:sz w:val="20"/>
          <w:szCs w:val="20"/>
        </w:rPr>
        <w:t xml:space="preserve"> and B. A. Al-Fuhaidi, “Emerging Stock Market Prediction Using GRU Algorithm: Incorporating Endogenous and Exogenous Variables,”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132964–132971,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10.1109/ACCESS.2024.3444699.</w:t>
      </w:r>
    </w:p>
    <w:p w14:paraId="122BFB27"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[12]</w:t>
      </w:r>
      <w:r w:rsidRPr="00B868E7">
        <w:rPr>
          <w:rFonts w:ascii="Times New Roman" w:hAnsi="Times New Roman" w:cs="Times New Roman"/>
          <w:kern w:val="0"/>
          <w:sz w:val="20"/>
          <w:szCs w:val="20"/>
        </w:rPr>
        <w:tab/>
        <w:t xml:space="preserve">H. D. Jung and B. Jang, “Enhancing Financial Sentiment Analysis Ability of Language Model via Targeted Numerical Change-Related Masking,”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50809–50820,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10.1109/ACCESS.2024.3385855.</w:t>
      </w:r>
    </w:p>
    <w:p w14:paraId="3C4EBDF1"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[13]</w:t>
      </w:r>
      <w:r w:rsidRPr="00B868E7">
        <w:rPr>
          <w:rFonts w:ascii="Times New Roman" w:hAnsi="Times New Roman" w:cs="Times New Roman"/>
          <w:kern w:val="0"/>
          <w:sz w:val="20"/>
          <w:szCs w:val="20"/>
        </w:rPr>
        <w:tab/>
        <w:t xml:space="preserve">D. Zhang, S. Chen, L. Liwen, and Q. Xia, “Forecasting Agricultural Commodity Prices Using Model Selection Framework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Time Series Features and Forecast Horizons,”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28197–28209,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10.1109/ACCESS.2020.2971591.</w:t>
      </w:r>
    </w:p>
    <w:p w14:paraId="33D997ED"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[14]</w:t>
      </w:r>
      <w:r w:rsidRPr="00B868E7">
        <w:rPr>
          <w:rFonts w:ascii="Times New Roman" w:hAnsi="Times New Roman" w:cs="Times New Roman"/>
          <w:kern w:val="0"/>
          <w:sz w:val="20"/>
          <w:szCs w:val="20"/>
        </w:rPr>
        <w:tab/>
        <w:t xml:space="preserve">J.-S. Chou and T.-K. Nguyen, “Forward Forecast of Stock Price Using Sliding-Window Metaheuristic-Optimized Machine-Learning Regression,” </w:t>
      </w:r>
      <w:r w:rsidRPr="00B868E7">
        <w:rPr>
          <w:rFonts w:ascii="Times New Roman" w:hAnsi="Times New Roman" w:cs="Times New Roman"/>
          <w:i/>
          <w:iCs/>
          <w:kern w:val="0"/>
          <w:sz w:val="20"/>
          <w:szCs w:val="20"/>
        </w:rPr>
        <w:t>IEEE Trans. Ind. Inf.</w:t>
      </w:r>
      <w:r w:rsidRPr="00B868E7">
        <w:rPr>
          <w:rFonts w:ascii="Times New Roman" w:hAnsi="Times New Roman" w:cs="Times New Roman"/>
          <w:kern w:val="0"/>
          <w:sz w:val="20"/>
          <w:szCs w:val="20"/>
        </w:rPr>
        <w:t xml:space="preserve">, vol. 14, no. 7, pp. 3132–3142, July 2018,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10.1109/TII.2018.2794389.</w:t>
      </w:r>
    </w:p>
    <w:p w14:paraId="3DA61C9D"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[15]</w:t>
      </w:r>
      <w:r w:rsidRPr="00B868E7">
        <w:rPr>
          <w:rFonts w:ascii="Times New Roman" w:hAnsi="Times New Roman" w:cs="Times New Roman"/>
          <w:kern w:val="0"/>
          <w:sz w:val="20"/>
          <w:szCs w:val="20"/>
        </w:rPr>
        <w:tab/>
        <w:t xml:space="preserve">F. Moodi, A. J. Rafsanjani, S. Zarifzadeh, and M. Ali Zare Chahooki, “Fusion of Technical Indicators and Sentiment Analysis in a Hybrid Framework of Deep Learning Models for Stock Price Movement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195696–195709,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10.1109/ACCESS.2024.3519556.</w:t>
      </w:r>
    </w:p>
    <w:p w14:paraId="28A491BF"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[16]</w:t>
      </w:r>
      <w:r w:rsidRPr="00B868E7">
        <w:rPr>
          <w:rFonts w:ascii="Times New Roman" w:hAnsi="Times New Roman" w:cs="Times New Roman"/>
          <w:kern w:val="0"/>
          <w:sz w:val="20"/>
          <w:szCs w:val="20"/>
        </w:rPr>
        <w:tab/>
        <w:t xml:space="preserve">X. Hu and J. Yang, “Group Penalized Multinomial Logit Models and Stock Return Direction Prediction,” </w:t>
      </w:r>
      <w:r w:rsidRPr="00B868E7">
        <w:rPr>
          <w:rFonts w:ascii="Times New Roman" w:hAnsi="Times New Roman" w:cs="Times New Roman"/>
          <w:i/>
          <w:iCs/>
          <w:kern w:val="0"/>
          <w:sz w:val="20"/>
          <w:szCs w:val="20"/>
        </w:rPr>
        <w:t>IEEE Trans. Inform. Theory</w:t>
      </w:r>
      <w:r w:rsidRPr="00B868E7">
        <w:rPr>
          <w:rFonts w:ascii="Times New Roman" w:hAnsi="Times New Roman" w:cs="Times New Roman"/>
          <w:kern w:val="0"/>
          <w:sz w:val="20"/>
          <w:szCs w:val="20"/>
        </w:rPr>
        <w:t xml:space="preserve">, vol. 70, no. 6, pp. 4297–4318, June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10.1109/TIT.2024.3376751.</w:t>
      </w:r>
    </w:p>
    <w:p w14:paraId="4C7816A4"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[17]</w:t>
      </w:r>
      <w:r w:rsidRPr="00B868E7">
        <w:rPr>
          <w:rFonts w:ascii="Times New Roman" w:hAnsi="Times New Roman" w:cs="Times New Roman"/>
          <w:kern w:val="0"/>
          <w:sz w:val="20"/>
          <w:szCs w:val="20"/>
        </w:rPr>
        <w:tab/>
        <w:t xml:space="preserve">Y. Yang and Y. Yang, “Hybrid Method for Short-Term Time Series Forecasting Based on EEMD,”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61915–61928,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10.1109/ACCESS.2020.2983588.</w:t>
      </w:r>
    </w:p>
    <w:p w14:paraId="36096BA5"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[18]</w:t>
      </w:r>
      <w:r w:rsidRPr="00B868E7">
        <w:rPr>
          <w:rFonts w:ascii="Times New Roman" w:hAnsi="Times New Roman" w:cs="Times New Roman"/>
          <w:kern w:val="0"/>
          <w:sz w:val="20"/>
          <w:szCs w:val="20"/>
        </w:rPr>
        <w:tab/>
        <w:t>R. S. T. Lee, “</w:t>
      </w:r>
      <w:proofErr w:type="spellStart"/>
      <w:r w:rsidRPr="00B868E7">
        <w:rPr>
          <w:rFonts w:ascii="Times New Roman" w:hAnsi="Times New Roman" w:cs="Times New Roman"/>
          <w:kern w:val="0"/>
          <w:sz w:val="20"/>
          <w:szCs w:val="20"/>
        </w:rPr>
        <w:t>iJADE</w:t>
      </w:r>
      <w:proofErr w:type="spellEnd"/>
      <w:r w:rsidRPr="00B868E7">
        <w:rPr>
          <w:rFonts w:ascii="Times New Roman" w:hAnsi="Times New Roman" w:cs="Times New Roman"/>
          <w:kern w:val="0"/>
          <w:sz w:val="20"/>
          <w:szCs w:val="20"/>
        </w:rPr>
        <w:t xml:space="preserve"> Stock Advisor: An Intelligent Agent Based Stock Prediction System Using Hybrid RBF Recurrent Network,” </w:t>
      </w:r>
      <w:r w:rsidRPr="00B868E7">
        <w:rPr>
          <w:rFonts w:ascii="Times New Roman" w:hAnsi="Times New Roman" w:cs="Times New Roman"/>
          <w:i/>
          <w:iCs/>
          <w:kern w:val="0"/>
          <w:sz w:val="20"/>
          <w:szCs w:val="20"/>
        </w:rPr>
        <w:t xml:space="preserve">IEEE Trans. Syst., Man, </w:t>
      </w:r>
      <w:proofErr w:type="spellStart"/>
      <w:r w:rsidRPr="00B868E7">
        <w:rPr>
          <w:rFonts w:ascii="Times New Roman" w:hAnsi="Times New Roman" w:cs="Times New Roman"/>
          <w:i/>
          <w:iCs/>
          <w:kern w:val="0"/>
          <w:sz w:val="20"/>
          <w:szCs w:val="20"/>
        </w:rPr>
        <w:t>Cybern</w:t>
      </w:r>
      <w:proofErr w:type="spellEnd"/>
      <w:r w:rsidRPr="00B868E7">
        <w:rPr>
          <w:rFonts w:ascii="Times New Roman" w:hAnsi="Times New Roman" w:cs="Times New Roman"/>
          <w:i/>
          <w:iCs/>
          <w:kern w:val="0"/>
          <w:sz w:val="20"/>
          <w:szCs w:val="20"/>
        </w:rPr>
        <w:t>. A</w:t>
      </w:r>
      <w:r w:rsidRPr="00B868E7">
        <w:rPr>
          <w:rFonts w:ascii="Times New Roman" w:hAnsi="Times New Roman" w:cs="Times New Roman"/>
          <w:kern w:val="0"/>
          <w:sz w:val="20"/>
          <w:szCs w:val="20"/>
        </w:rPr>
        <w:t xml:space="preserve">, vol. 34, no. 3, pp. 421–428, May 2004,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10.1109/TSMCA.2004.824871.</w:t>
      </w:r>
    </w:p>
    <w:p w14:paraId="22735928"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[19]</w:t>
      </w:r>
      <w:r w:rsidRPr="00B868E7">
        <w:rPr>
          <w:rFonts w:ascii="Times New Roman" w:hAnsi="Times New Roman" w:cs="Times New Roman"/>
          <w:kern w:val="0"/>
          <w:sz w:val="20"/>
          <w:szCs w:val="20"/>
        </w:rPr>
        <w:tab/>
        <w:t xml:space="preserve">S. C. Nayak, S. Dehuri, and S.-B. Cho, “Intelligent Financial Forecasting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an Improved Chemical </w:t>
      </w:r>
      <w:r w:rsidRPr="00B868E7">
        <w:rPr>
          <w:rFonts w:ascii="Times New Roman" w:hAnsi="Times New Roman" w:cs="Times New Roman"/>
          <w:kern w:val="0"/>
          <w:sz w:val="20"/>
          <w:szCs w:val="20"/>
        </w:rPr>
        <w:lastRenderedPageBreak/>
        <w:t xml:space="preserve">Reaction Optimization Algorithm Based Dendritic Neuron Model,”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130921–130943,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10.1109/ACCESS.2022.3229314.</w:t>
      </w:r>
    </w:p>
    <w:p w14:paraId="3E30208F"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[20]</w:t>
      </w:r>
      <w:r w:rsidRPr="00B868E7">
        <w:rPr>
          <w:rFonts w:ascii="Times New Roman" w:hAnsi="Times New Roman" w:cs="Times New Roman"/>
          <w:kern w:val="0"/>
          <w:sz w:val="20"/>
          <w:szCs w:val="20"/>
        </w:rPr>
        <w:tab/>
        <w:t>H. M. Sami, M. Shah Jalal, M. Faisal Kabir, and M. Nurul Huda, “</w:t>
      </w:r>
      <w:proofErr w:type="spellStart"/>
      <w:r w:rsidRPr="00B868E7">
        <w:rPr>
          <w:rFonts w:ascii="Times New Roman" w:hAnsi="Times New Roman" w:cs="Times New Roman"/>
          <w:kern w:val="0"/>
          <w:sz w:val="20"/>
          <w:szCs w:val="20"/>
        </w:rPr>
        <w:t>IntPort</w:t>
      </w:r>
      <w:proofErr w:type="spellEnd"/>
      <w:r w:rsidRPr="00B868E7">
        <w:rPr>
          <w:rFonts w:ascii="Times New Roman" w:hAnsi="Times New Roman" w:cs="Times New Roman"/>
          <w:kern w:val="0"/>
          <w:sz w:val="20"/>
          <w:szCs w:val="20"/>
        </w:rPr>
        <w:t xml:space="preserve">: An Intelligent Portfolio Construction Technique Based on Financial Forecasting by Statistical Average Method,”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13, pp. 35355–35375, 2025,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10.1109/ACCESS.2025.3543741.</w:t>
      </w:r>
    </w:p>
    <w:p w14:paraId="575DDD4C"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[21]</w:t>
      </w:r>
      <w:r w:rsidRPr="00B868E7">
        <w:rPr>
          <w:rFonts w:ascii="Times New Roman" w:hAnsi="Times New Roman" w:cs="Times New Roman"/>
          <w:kern w:val="0"/>
          <w:sz w:val="20"/>
          <w:szCs w:val="20"/>
        </w:rPr>
        <w:tab/>
        <w:t xml:space="preserve">L. Bacco, L. Petrosino, D. </w:t>
      </w:r>
      <w:proofErr w:type="spellStart"/>
      <w:r w:rsidRPr="00B868E7">
        <w:rPr>
          <w:rFonts w:ascii="Times New Roman" w:hAnsi="Times New Roman" w:cs="Times New Roman"/>
          <w:kern w:val="0"/>
          <w:sz w:val="20"/>
          <w:szCs w:val="20"/>
        </w:rPr>
        <w:t>Arganese</w:t>
      </w:r>
      <w:proofErr w:type="spellEnd"/>
      <w:r w:rsidRPr="00B868E7">
        <w:rPr>
          <w:rFonts w:ascii="Times New Roman" w:hAnsi="Times New Roman" w:cs="Times New Roman"/>
          <w:kern w:val="0"/>
          <w:sz w:val="20"/>
          <w:szCs w:val="20"/>
        </w:rPr>
        <w:t xml:space="preserve">, L. Vollero, M. Papi, and M. Merone, “Investigating Stock Prediction Using LSTM Networks and Sentiment Analysis of Tweets Under High Uncertainty: A Case Study of North American and European Banks,”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122239–122248,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10.1109/ACCESS.2024.3450311.</w:t>
      </w:r>
    </w:p>
    <w:p w14:paraId="46FF9429"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[22]</w:t>
      </w:r>
      <w:r w:rsidRPr="00B868E7">
        <w:rPr>
          <w:rFonts w:ascii="Times New Roman" w:hAnsi="Times New Roman" w:cs="Times New Roman"/>
          <w:kern w:val="0"/>
          <w:sz w:val="20"/>
          <w:szCs w:val="20"/>
        </w:rPr>
        <w:tab/>
        <w:t xml:space="preserve">X. Lu, J. Qiu, Y. Yang, C. Zhang, J. Lin, and S. An, “Large Language Model-Based Bidding </w:t>
      </w:r>
      <w:proofErr w:type="spellStart"/>
      <w:r w:rsidRPr="00B868E7">
        <w:rPr>
          <w:rFonts w:ascii="Times New Roman" w:hAnsi="Times New Roman" w:cs="Times New Roman"/>
          <w:kern w:val="0"/>
          <w:sz w:val="20"/>
          <w:szCs w:val="20"/>
        </w:rPr>
        <w:t>Behavior</w:t>
      </w:r>
      <w:proofErr w:type="spellEnd"/>
      <w:r w:rsidRPr="00B868E7">
        <w:rPr>
          <w:rFonts w:ascii="Times New Roman" w:hAnsi="Times New Roman" w:cs="Times New Roman"/>
          <w:kern w:val="0"/>
          <w:sz w:val="20"/>
          <w:szCs w:val="20"/>
        </w:rPr>
        <w:t xml:space="preserve"> Agent and Market Sentiment Agent-Assisted Electricity Price Prediction,” </w:t>
      </w:r>
      <w:r w:rsidRPr="00B868E7">
        <w:rPr>
          <w:rFonts w:ascii="Times New Roman" w:hAnsi="Times New Roman" w:cs="Times New Roman"/>
          <w:i/>
          <w:iCs/>
          <w:kern w:val="0"/>
          <w:sz w:val="20"/>
          <w:szCs w:val="20"/>
        </w:rPr>
        <w:t xml:space="preserve">IEEE Trans. on </w:t>
      </w:r>
      <w:proofErr w:type="spellStart"/>
      <w:r w:rsidRPr="00B868E7">
        <w:rPr>
          <w:rFonts w:ascii="Times New Roman" w:hAnsi="Times New Roman" w:cs="Times New Roman"/>
          <w:i/>
          <w:iCs/>
          <w:kern w:val="0"/>
          <w:sz w:val="20"/>
          <w:szCs w:val="20"/>
        </w:rPr>
        <w:t>Enrgy</w:t>
      </w:r>
      <w:proofErr w:type="spellEnd"/>
      <w:r w:rsidRPr="00B868E7">
        <w:rPr>
          <w:rFonts w:ascii="Times New Roman" w:hAnsi="Times New Roman" w:cs="Times New Roman"/>
          <w:i/>
          <w:iCs/>
          <w:kern w:val="0"/>
          <w:sz w:val="20"/>
          <w:szCs w:val="20"/>
        </w:rPr>
        <w:t xml:space="preserve"> </w:t>
      </w:r>
      <w:proofErr w:type="spellStart"/>
      <w:r w:rsidRPr="00B868E7">
        <w:rPr>
          <w:rFonts w:ascii="Times New Roman" w:hAnsi="Times New Roman" w:cs="Times New Roman"/>
          <w:i/>
          <w:iCs/>
          <w:kern w:val="0"/>
          <w:sz w:val="20"/>
          <w:szCs w:val="20"/>
        </w:rPr>
        <w:t>Mrkts</w:t>
      </w:r>
      <w:proofErr w:type="spellEnd"/>
      <w:r w:rsidRPr="00B868E7">
        <w:rPr>
          <w:rFonts w:ascii="Times New Roman" w:hAnsi="Times New Roman" w:cs="Times New Roman"/>
          <w:i/>
          <w:iCs/>
          <w:kern w:val="0"/>
          <w:sz w:val="20"/>
          <w:szCs w:val="20"/>
        </w:rPr>
        <w:t>, Pol and Reg</w:t>
      </w:r>
      <w:r w:rsidRPr="00B868E7">
        <w:rPr>
          <w:rFonts w:ascii="Times New Roman" w:hAnsi="Times New Roman" w:cs="Times New Roman"/>
          <w:kern w:val="0"/>
          <w:sz w:val="20"/>
          <w:szCs w:val="20"/>
        </w:rPr>
        <w:t xml:space="preserve">, vol. 3, no. 2, pp. 223–235, June 2025,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10.1109/TEMPR.2024.3518624.</w:t>
      </w:r>
    </w:p>
    <w:p w14:paraId="55E3C3C8"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[23]</w:t>
      </w:r>
      <w:r w:rsidRPr="00B868E7">
        <w:rPr>
          <w:rFonts w:ascii="Times New Roman" w:hAnsi="Times New Roman" w:cs="Times New Roman"/>
          <w:kern w:val="0"/>
          <w:sz w:val="20"/>
          <w:szCs w:val="20"/>
        </w:rPr>
        <w:tab/>
        <w:t xml:space="preserve">C. Liu, A. Arulappan, R. Naha, A. Mahanti, J. </w:t>
      </w:r>
      <w:proofErr w:type="spellStart"/>
      <w:r w:rsidRPr="00B868E7">
        <w:rPr>
          <w:rFonts w:ascii="Times New Roman" w:hAnsi="Times New Roman" w:cs="Times New Roman"/>
          <w:kern w:val="0"/>
          <w:sz w:val="20"/>
          <w:szCs w:val="20"/>
        </w:rPr>
        <w:t>Kamruzzaman</w:t>
      </w:r>
      <w:proofErr w:type="spellEnd"/>
      <w:r w:rsidRPr="00B868E7">
        <w:rPr>
          <w:rFonts w:ascii="Times New Roman" w:hAnsi="Times New Roman" w:cs="Times New Roman"/>
          <w:kern w:val="0"/>
          <w:sz w:val="20"/>
          <w:szCs w:val="20"/>
        </w:rPr>
        <w:t xml:space="preserve">, and I.-H. Ra, “Large Language Models and Sentiment Analysis in Financial Markets: A Review, Datasets, and Case Study,”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134041–134061,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10.1109/ACCESS.2024.3445413.</w:t>
      </w:r>
    </w:p>
    <w:p w14:paraId="1DDAB629"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[24]</w:t>
      </w:r>
      <w:r w:rsidRPr="00B868E7">
        <w:rPr>
          <w:rFonts w:ascii="Times New Roman" w:hAnsi="Times New Roman" w:cs="Times New Roman"/>
          <w:kern w:val="0"/>
          <w:sz w:val="20"/>
          <w:szCs w:val="20"/>
        </w:rPr>
        <w:tab/>
        <w:t xml:space="preserve">W. Tai, T. Zhong, Y. Mo, and F. Zhou, “Learning Sentimental and Financial Signals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Normalizing Flows for Stock Movement Prediction,” </w:t>
      </w:r>
      <w:r w:rsidRPr="00B868E7">
        <w:rPr>
          <w:rFonts w:ascii="Times New Roman" w:hAnsi="Times New Roman" w:cs="Times New Roman"/>
          <w:i/>
          <w:iCs/>
          <w:kern w:val="0"/>
          <w:sz w:val="20"/>
          <w:szCs w:val="20"/>
        </w:rPr>
        <w:t>IEEE Signal Process. Lett.</w:t>
      </w:r>
      <w:r w:rsidRPr="00B868E7">
        <w:rPr>
          <w:rFonts w:ascii="Times New Roman" w:hAnsi="Times New Roman" w:cs="Times New Roman"/>
          <w:kern w:val="0"/>
          <w:sz w:val="20"/>
          <w:szCs w:val="20"/>
        </w:rPr>
        <w:t xml:space="preserve">, vol. 29, pp. 414–418,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10.1109/LSP.2021.3135793.</w:t>
      </w:r>
    </w:p>
    <w:p w14:paraId="6A8B08F3"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[25]</w:t>
      </w:r>
      <w:r w:rsidRPr="00B868E7">
        <w:rPr>
          <w:rFonts w:ascii="Times New Roman" w:hAnsi="Times New Roman" w:cs="Times New Roman"/>
          <w:kern w:val="0"/>
          <w:sz w:val="20"/>
          <w:szCs w:val="20"/>
        </w:rPr>
        <w:tab/>
        <w:t xml:space="preserve">L. Réka Ónozó, F. Viktor Arthur, and B. </w:t>
      </w:r>
      <w:proofErr w:type="spellStart"/>
      <w:r w:rsidRPr="00B868E7">
        <w:rPr>
          <w:rFonts w:ascii="Times New Roman" w:hAnsi="Times New Roman" w:cs="Times New Roman"/>
          <w:kern w:val="0"/>
          <w:sz w:val="20"/>
          <w:szCs w:val="20"/>
        </w:rPr>
        <w:t>Gyires</w:t>
      </w:r>
      <w:proofErr w:type="spellEnd"/>
      <w:r w:rsidRPr="00B868E7">
        <w:rPr>
          <w:rFonts w:ascii="Times New Roman" w:hAnsi="Times New Roman" w:cs="Times New Roman"/>
          <w:kern w:val="0"/>
          <w:sz w:val="20"/>
          <w:szCs w:val="20"/>
        </w:rPr>
        <w:t xml:space="preserve">-Tóth, “Leveraging LLMs for Financial News Analysis and Macroeconomic Indicator Nowcasting,”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160529–160547,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10.1109/ACCESS.2024.3488363.</w:t>
      </w:r>
    </w:p>
    <w:p w14:paraId="72E34C1C"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[26]</w:t>
      </w:r>
      <w:r w:rsidRPr="00B868E7">
        <w:rPr>
          <w:rFonts w:ascii="Times New Roman" w:hAnsi="Times New Roman" w:cs="Times New Roman"/>
          <w:kern w:val="0"/>
          <w:sz w:val="20"/>
          <w:szCs w:val="20"/>
        </w:rPr>
        <w:tab/>
        <w:t xml:space="preserve">A. T. Haryono, R. Sarno, R. N. E. </w:t>
      </w:r>
      <w:proofErr w:type="spellStart"/>
      <w:r w:rsidRPr="00B868E7">
        <w:rPr>
          <w:rFonts w:ascii="Times New Roman" w:hAnsi="Times New Roman" w:cs="Times New Roman"/>
          <w:kern w:val="0"/>
          <w:sz w:val="20"/>
          <w:szCs w:val="20"/>
        </w:rPr>
        <w:t>Anggraini</w:t>
      </w:r>
      <w:proofErr w:type="spellEnd"/>
      <w:r w:rsidRPr="00B868E7">
        <w:rPr>
          <w:rFonts w:ascii="Times New Roman" w:hAnsi="Times New Roman" w:cs="Times New Roman"/>
          <w:kern w:val="0"/>
          <w:sz w:val="20"/>
          <w:szCs w:val="20"/>
        </w:rPr>
        <w:t xml:space="preserve">, and K. R. Sungkono, “Permuted Temporal Kolmogorov-Arnold Networks for Stock Price Forecasting Using Generative Aspect-Based Sentiment Analysis,”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178672–178689,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10.1109/ACCESS.2024.3506658.</w:t>
      </w:r>
    </w:p>
    <w:p w14:paraId="14EBB55A"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[27]</w:t>
      </w:r>
      <w:r w:rsidRPr="00B868E7">
        <w:rPr>
          <w:rFonts w:ascii="Times New Roman" w:hAnsi="Times New Roman" w:cs="Times New Roman"/>
          <w:kern w:val="0"/>
          <w:sz w:val="20"/>
          <w:szCs w:val="20"/>
        </w:rPr>
        <w:tab/>
        <w:t xml:space="preserve">N. </w:t>
      </w:r>
      <w:proofErr w:type="spellStart"/>
      <w:r w:rsidRPr="00B868E7">
        <w:rPr>
          <w:rFonts w:ascii="Times New Roman" w:hAnsi="Times New Roman" w:cs="Times New Roman"/>
          <w:kern w:val="0"/>
          <w:sz w:val="20"/>
          <w:szCs w:val="20"/>
        </w:rPr>
        <w:t>Malibari</w:t>
      </w:r>
      <w:proofErr w:type="spellEnd"/>
      <w:r w:rsidRPr="00B868E7">
        <w:rPr>
          <w:rFonts w:ascii="Times New Roman" w:hAnsi="Times New Roman" w:cs="Times New Roman"/>
          <w:kern w:val="0"/>
          <w:sz w:val="20"/>
          <w:szCs w:val="20"/>
        </w:rPr>
        <w:t xml:space="preserve">, I. Katib, and R. Mehmood, “Predicting Stock Closing Prices in Emerging Markets with Transformer Neural Networks: The Saudi Stock Exchange Case,” </w:t>
      </w:r>
      <w:r w:rsidRPr="00B868E7">
        <w:rPr>
          <w:rFonts w:ascii="Times New Roman" w:hAnsi="Times New Roman" w:cs="Times New Roman"/>
          <w:i/>
          <w:iCs/>
          <w:kern w:val="0"/>
          <w:sz w:val="20"/>
          <w:szCs w:val="20"/>
        </w:rPr>
        <w:t>IJACSA</w:t>
      </w:r>
      <w:r w:rsidRPr="00B868E7">
        <w:rPr>
          <w:rFonts w:ascii="Times New Roman" w:hAnsi="Times New Roman" w:cs="Times New Roman"/>
          <w:kern w:val="0"/>
          <w:sz w:val="20"/>
          <w:szCs w:val="20"/>
        </w:rPr>
        <w:t xml:space="preserve">, vol. 12, no. 12, 2021,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10.14569/IJACSA.2021.01212106.</w:t>
      </w:r>
    </w:p>
    <w:p w14:paraId="3198F5D1"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[28]</w:t>
      </w:r>
      <w:r w:rsidRPr="00B868E7">
        <w:rPr>
          <w:rFonts w:ascii="Times New Roman" w:hAnsi="Times New Roman" w:cs="Times New Roman"/>
          <w:kern w:val="0"/>
          <w:sz w:val="20"/>
          <w:szCs w:val="20"/>
        </w:rPr>
        <w:tab/>
        <w:t xml:space="preserve">Y. Wen, P. Lin, and X. Nie, “Research of Stock Price Prediction Based on PCA-LSTM Model,” </w:t>
      </w:r>
      <w:r w:rsidRPr="00B868E7">
        <w:rPr>
          <w:rFonts w:ascii="Times New Roman" w:hAnsi="Times New Roman" w:cs="Times New Roman"/>
          <w:i/>
          <w:iCs/>
          <w:kern w:val="0"/>
          <w:sz w:val="20"/>
          <w:szCs w:val="20"/>
        </w:rPr>
        <w:t>IOP Conf. Ser.: Mater. Sci. Eng.</w:t>
      </w:r>
      <w:r w:rsidRPr="00B868E7">
        <w:rPr>
          <w:rFonts w:ascii="Times New Roman" w:hAnsi="Times New Roman" w:cs="Times New Roman"/>
          <w:kern w:val="0"/>
          <w:sz w:val="20"/>
          <w:szCs w:val="20"/>
        </w:rPr>
        <w:t xml:space="preserve">, vol. 790, no. 1, p. 012109, Mar.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10.1088/1757-899X/790/1/012109.</w:t>
      </w:r>
    </w:p>
    <w:p w14:paraId="541B2EA3"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[29]</w:t>
      </w:r>
      <w:r w:rsidRPr="00B868E7">
        <w:rPr>
          <w:rFonts w:ascii="Times New Roman" w:hAnsi="Times New Roman" w:cs="Times New Roman"/>
          <w:kern w:val="0"/>
          <w:sz w:val="20"/>
          <w:szCs w:val="20"/>
        </w:rPr>
        <w:tab/>
        <w:t xml:space="preserve">C. Wang, Z. Xiao, F.-S. Zhao, D. Ni, and L. Li, “Research on Economic Recession Prediction Model </w:t>
      </w:r>
      <w:proofErr w:type="gramStart"/>
      <w:r w:rsidRPr="00B868E7">
        <w:rPr>
          <w:rFonts w:ascii="Times New Roman" w:hAnsi="Times New Roman" w:cs="Times New Roman"/>
          <w:kern w:val="0"/>
          <w:sz w:val="20"/>
          <w:szCs w:val="20"/>
        </w:rPr>
        <w:t>From</w:t>
      </w:r>
      <w:proofErr w:type="gramEnd"/>
      <w:r w:rsidRPr="00B868E7">
        <w:rPr>
          <w:rFonts w:ascii="Times New Roman" w:hAnsi="Times New Roman" w:cs="Times New Roman"/>
          <w:kern w:val="0"/>
          <w:sz w:val="20"/>
          <w:szCs w:val="20"/>
        </w:rPr>
        <w:t xml:space="preserve"> the Multiple </w:t>
      </w:r>
      <w:proofErr w:type="spellStart"/>
      <w:r w:rsidRPr="00B868E7">
        <w:rPr>
          <w:rFonts w:ascii="Times New Roman" w:hAnsi="Times New Roman" w:cs="Times New Roman"/>
          <w:kern w:val="0"/>
          <w:sz w:val="20"/>
          <w:szCs w:val="20"/>
        </w:rPr>
        <w:t>Behavioral</w:t>
      </w:r>
      <w:proofErr w:type="spellEnd"/>
      <w:r w:rsidRPr="00B868E7">
        <w:rPr>
          <w:rFonts w:ascii="Times New Roman" w:hAnsi="Times New Roman" w:cs="Times New Roman"/>
          <w:kern w:val="0"/>
          <w:sz w:val="20"/>
          <w:szCs w:val="20"/>
        </w:rPr>
        <w:t xml:space="preserve"> Features Perspective,”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7, pp. 83363–83371, 2019,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10.1109/ACCESS.2019.2924267.</w:t>
      </w:r>
    </w:p>
    <w:p w14:paraId="31D909A5"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[30]</w:t>
      </w:r>
      <w:r w:rsidRPr="00B868E7">
        <w:rPr>
          <w:rFonts w:ascii="Times New Roman" w:hAnsi="Times New Roman" w:cs="Times New Roman"/>
          <w:kern w:val="0"/>
          <w:sz w:val="20"/>
          <w:szCs w:val="20"/>
        </w:rPr>
        <w:tab/>
        <w:t xml:space="preserve">L. Shang, “Sentiment-Driven Bitcoin Price Range Forecasting: Enhancing CART Decision Trees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High-Dimensional Indicators and Twitter Dynamics,”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13, pp. 60508–60518, 2025,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10.1109/ACCESS.2025.3557186.</w:t>
      </w:r>
    </w:p>
    <w:p w14:paraId="6E53BE07"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[31]</w:t>
      </w:r>
      <w:r w:rsidRPr="00B868E7">
        <w:rPr>
          <w:rFonts w:ascii="Times New Roman" w:hAnsi="Times New Roman" w:cs="Times New Roman"/>
          <w:kern w:val="0"/>
          <w:sz w:val="20"/>
          <w:szCs w:val="20"/>
        </w:rPr>
        <w:tab/>
        <w:t xml:space="preserve">J. Wang and Z. Chen, “SPCM: A Machine Learning Approach for Sentiment-Based Stock Recommendation System,”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12, pp. 14116–14129, 2024,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10.1109/ACCESS.2024.3357114.</w:t>
      </w:r>
    </w:p>
    <w:p w14:paraId="1DAE1080"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[32]</w:t>
      </w:r>
      <w:r w:rsidRPr="00B868E7">
        <w:rPr>
          <w:rFonts w:ascii="Times New Roman" w:hAnsi="Times New Roman" w:cs="Times New Roman"/>
          <w:kern w:val="0"/>
          <w:sz w:val="20"/>
          <w:szCs w:val="20"/>
        </w:rPr>
        <w:tab/>
        <w:t xml:space="preserve">A. W. Li and G. S. Bastos, “Stock Market Forecasting Using Deep Learning and Technical Analysis: A Systematic Review,”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185232–185242,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10.1109/ACCESS.2020.3030226.</w:t>
      </w:r>
    </w:p>
    <w:p w14:paraId="39BBBF04"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[33]</w:t>
      </w:r>
      <w:r w:rsidRPr="00B868E7">
        <w:rPr>
          <w:rFonts w:ascii="Times New Roman" w:hAnsi="Times New Roman" w:cs="Times New Roman"/>
          <w:kern w:val="0"/>
          <w:sz w:val="20"/>
          <w:szCs w:val="20"/>
        </w:rPr>
        <w:tab/>
        <w:t xml:space="preserve">B. Kumari and T. Swarnkar, “Stock movement prediction using hybrid normalization technique and artificial neural network,” </w:t>
      </w:r>
      <w:r w:rsidRPr="00B868E7">
        <w:rPr>
          <w:rFonts w:ascii="Times New Roman" w:hAnsi="Times New Roman" w:cs="Times New Roman"/>
          <w:i/>
          <w:iCs/>
          <w:kern w:val="0"/>
          <w:sz w:val="20"/>
          <w:szCs w:val="20"/>
        </w:rPr>
        <w:t>IJATEE</w:t>
      </w:r>
      <w:r w:rsidRPr="00B868E7">
        <w:rPr>
          <w:rFonts w:ascii="Times New Roman" w:hAnsi="Times New Roman" w:cs="Times New Roman"/>
          <w:kern w:val="0"/>
          <w:sz w:val="20"/>
          <w:szCs w:val="20"/>
        </w:rPr>
        <w:t xml:space="preserve">, vol. 8, no. 83, Oct. 2021,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10.19101/IJATEE.2021.874387.</w:t>
      </w:r>
    </w:p>
    <w:p w14:paraId="729BBEFD"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[34]</w:t>
      </w:r>
      <w:r w:rsidRPr="00B868E7">
        <w:rPr>
          <w:rFonts w:ascii="Times New Roman" w:hAnsi="Times New Roman" w:cs="Times New Roman"/>
          <w:kern w:val="0"/>
          <w:sz w:val="20"/>
          <w:szCs w:val="20"/>
        </w:rPr>
        <w:tab/>
        <w:t xml:space="preserve">F. Wang, M. Li, Y. Mei, and W. Li, “Time Series Data Mining: A Case Study </w:t>
      </w:r>
      <w:proofErr w:type="gramStart"/>
      <w:r w:rsidRPr="00B868E7">
        <w:rPr>
          <w:rFonts w:ascii="Times New Roman" w:hAnsi="Times New Roman" w:cs="Times New Roman"/>
          <w:kern w:val="0"/>
          <w:sz w:val="20"/>
          <w:szCs w:val="20"/>
        </w:rPr>
        <w:t>With</w:t>
      </w:r>
      <w:proofErr w:type="gramEnd"/>
      <w:r w:rsidRPr="00B868E7">
        <w:rPr>
          <w:rFonts w:ascii="Times New Roman" w:hAnsi="Times New Roman" w:cs="Times New Roman"/>
          <w:kern w:val="0"/>
          <w:sz w:val="20"/>
          <w:szCs w:val="20"/>
        </w:rPr>
        <w:t xml:space="preserve"> Big Data Analytics Approach,”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8, pp. 14322–14328, 2020,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10.1109/ACCESS.2020.2966553.</w:t>
      </w:r>
    </w:p>
    <w:p w14:paraId="5BFAD523"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[35]</w:t>
      </w:r>
      <w:r w:rsidRPr="00B868E7">
        <w:rPr>
          <w:rFonts w:ascii="Times New Roman" w:hAnsi="Times New Roman" w:cs="Times New Roman"/>
          <w:kern w:val="0"/>
          <w:sz w:val="20"/>
          <w:szCs w:val="20"/>
        </w:rPr>
        <w:tab/>
        <w:t xml:space="preserve">A. T. Haryono, R. Sarno, and K. R. Sungkono, “Transformer-Gated Recurrent Unit Method for Predicting Stock Price Based on News Sentiments and Technical Indicators,”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11, pp. 77132–77146, 2023,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10.1109/ACCESS.2023.3298445.</w:t>
      </w:r>
    </w:p>
    <w:p w14:paraId="40CF88D7" w14:textId="77777777" w:rsidR="00B868E7" w:rsidRPr="00B868E7" w:rsidRDefault="00B868E7" w:rsidP="00B868E7">
      <w:pPr>
        <w:widowControl w:val="0"/>
        <w:tabs>
          <w:tab w:val="left" w:pos="504"/>
        </w:tabs>
        <w:autoSpaceDE w:val="0"/>
        <w:autoSpaceDN w:val="0"/>
        <w:adjustRightInd w:val="0"/>
        <w:spacing w:after="0" w:line="240" w:lineRule="auto"/>
        <w:ind w:left="504" w:hanging="504"/>
        <w:jc w:val="both"/>
        <w:rPr>
          <w:rFonts w:ascii="Times New Roman" w:hAnsi="Times New Roman" w:cs="Times New Roman"/>
          <w:kern w:val="0"/>
          <w:sz w:val="20"/>
          <w:szCs w:val="20"/>
        </w:rPr>
      </w:pPr>
      <w:r w:rsidRPr="00B868E7">
        <w:rPr>
          <w:rFonts w:ascii="Times New Roman" w:hAnsi="Times New Roman" w:cs="Times New Roman"/>
          <w:kern w:val="0"/>
          <w:sz w:val="20"/>
          <w:szCs w:val="20"/>
        </w:rPr>
        <w:t>[36]</w:t>
      </w:r>
      <w:r w:rsidRPr="00B868E7">
        <w:rPr>
          <w:rFonts w:ascii="Times New Roman" w:hAnsi="Times New Roman" w:cs="Times New Roman"/>
          <w:kern w:val="0"/>
          <w:sz w:val="20"/>
          <w:szCs w:val="20"/>
        </w:rPr>
        <w:tab/>
        <w:t xml:space="preserve">S. Otabek and J. Choi, “Twitter Attribute Classification With Q-Learning on Bitcoin Price Prediction,” </w:t>
      </w:r>
      <w:r w:rsidRPr="00B868E7">
        <w:rPr>
          <w:rFonts w:ascii="Times New Roman" w:hAnsi="Times New Roman" w:cs="Times New Roman"/>
          <w:i/>
          <w:iCs/>
          <w:kern w:val="0"/>
          <w:sz w:val="20"/>
          <w:szCs w:val="20"/>
        </w:rPr>
        <w:t>IEEE Access</w:t>
      </w:r>
      <w:r w:rsidRPr="00B868E7">
        <w:rPr>
          <w:rFonts w:ascii="Times New Roman" w:hAnsi="Times New Roman" w:cs="Times New Roman"/>
          <w:kern w:val="0"/>
          <w:sz w:val="20"/>
          <w:szCs w:val="20"/>
        </w:rPr>
        <w:t xml:space="preserve">, vol. 10, pp. 96136–96148, 2022, </w:t>
      </w:r>
      <w:proofErr w:type="spellStart"/>
      <w:r w:rsidRPr="00B868E7">
        <w:rPr>
          <w:rFonts w:ascii="Times New Roman" w:hAnsi="Times New Roman" w:cs="Times New Roman"/>
          <w:kern w:val="0"/>
          <w:sz w:val="20"/>
          <w:szCs w:val="20"/>
        </w:rPr>
        <w:t>doi</w:t>
      </w:r>
      <w:proofErr w:type="spellEnd"/>
      <w:r w:rsidRPr="00B868E7">
        <w:rPr>
          <w:rFonts w:ascii="Times New Roman" w:hAnsi="Times New Roman" w:cs="Times New Roman"/>
          <w:kern w:val="0"/>
          <w:sz w:val="20"/>
          <w:szCs w:val="20"/>
        </w:rPr>
        <w:t>: 10.1109/ACCESS.2022.3205129.</w:t>
      </w:r>
    </w:p>
    <w:p w14:paraId="74C173DF" w14:textId="77777777" w:rsidR="00B868E7" w:rsidRPr="00B868E7" w:rsidRDefault="00B868E7" w:rsidP="00B868E7">
      <w:pPr>
        <w:pStyle w:val="NoSpacing"/>
        <w:jc w:val="both"/>
        <w:rPr>
          <w:rFonts w:ascii="Times New Roman" w:hAnsi="Times New Roman" w:cs="Times New Roman"/>
          <w:sz w:val="20"/>
          <w:szCs w:val="20"/>
        </w:rPr>
      </w:pPr>
    </w:p>
    <w:p w14:paraId="3C873510" w14:textId="77777777" w:rsidR="00B868E7" w:rsidRPr="00B868E7" w:rsidRDefault="00B868E7" w:rsidP="00B868E7">
      <w:pPr>
        <w:pStyle w:val="NoSpacing"/>
        <w:jc w:val="both"/>
        <w:rPr>
          <w:rFonts w:ascii="Times New Roman" w:hAnsi="Times New Roman" w:cs="Times New Roman"/>
          <w:sz w:val="20"/>
          <w:szCs w:val="20"/>
        </w:rPr>
      </w:pPr>
    </w:p>
    <w:sectPr w:rsidR="00B868E7" w:rsidRPr="00B86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79B"/>
    <w:multiLevelType w:val="hybridMultilevel"/>
    <w:tmpl w:val="EB9449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30C83"/>
    <w:multiLevelType w:val="hybridMultilevel"/>
    <w:tmpl w:val="F1AAB8E8"/>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7557DE"/>
    <w:multiLevelType w:val="hybridMultilevel"/>
    <w:tmpl w:val="F020AB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215745"/>
    <w:multiLevelType w:val="multilevel"/>
    <w:tmpl w:val="5866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573302">
    <w:abstractNumId w:val="0"/>
  </w:num>
  <w:num w:numId="2" w16cid:durableId="1031227599">
    <w:abstractNumId w:val="1"/>
  </w:num>
  <w:num w:numId="3" w16cid:durableId="1050230914">
    <w:abstractNumId w:val="2"/>
  </w:num>
  <w:num w:numId="4" w16cid:durableId="1332179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A2"/>
    <w:rsid w:val="001B136B"/>
    <w:rsid w:val="0027334B"/>
    <w:rsid w:val="002B2C4F"/>
    <w:rsid w:val="003878E1"/>
    <w:rsid w:val="00440098"/>
    <w:rsid w:val="0051091D"/>
    <w:rsid w:val="00627022"/>
    <w:rsid w:val="00666B02"/>
    <w:rsid w:val="00801D42"/>
    <w:rsid w:val="00817D78"/>
    <w:rsid w:val="008263BD"/>
    <w:rsid w:val="009978EE"/>
    <w:rsid w:val="00A87261"/>
    <w:rsid w:val="00B868E7"/>
    <w:rsid w:val="00BC550C"/>
    <w:rsid w:val="00C240FA"/>
    <w:rsid w:val="00C33689"/>
    <w:rsid w:val="00D13E56"/>
    <w:rsid w:val="00D20BA2"/>
    <w:rsid w:val="00D654B3"/>
    <w:rsid w:val="00D7769B"/>
    <w:rsid w:val="00D8228F"/>
    <w:rsid w:val="00DD48BF"/>
    <w:rsid w:val="00DD739F"/>
    <w:rsid w:val="00E23020"/>
    <w:rsid w:val="00E23600"/>
    <w:rsid w:val="00E67096"/>
    <w:rsid w:val="00EE6B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F27A"/>
  <w15:chartTrackingRefBased/>
  <w15:docId w15:val="{47999590-1CBA-4D03-B961-377EDF0C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A2"/>
    <w:rPr>
      <w:rFonts w:eastAsiaTheme="majorEastAsia" w:cstheme="majorBidi"/>
      <w:color w:val="272727" w:themeColor="text1" w:themeTint="D8"/>
    </w:rPr>
  </w:style>
  <w:style w:type="paragraph" w:styleId="Title">
    <w:name w:val="Title"/>
    <w:basedOn w:val="Normal"/>
    <w:next w:val="Normal"/>
    <w:link w:val="TitleChar"/>
    <w:uiPriority w:val="10"/>
    <w:qFormat/>
    <w:rsid w:val="00D2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A2"/>
    <w:pPr>
      <w:spacing w:before="160"/>
      <w:jc w:val="center"/>
    </w:pPr>
    <w:rPr>
      <w:i/>
      <w:iCs/>
      <w:color w:val="404040" w:themeColor="text1" w:themeTint="BF"/>
    </w:rPr>
  </w:style>
  <w:style w:type="character" w:customStyle="1" w:styleId="QuoteChar">
    <w:name w:val="Quote Char"/>
    <w:basedOn w:val="DefaultParagraphFont"/>
    <w:link w:val="Quote"/>
    <w:uiPriority w:val="29"/>
    <w:rsid w:val="00D20BA2"/>
    <w:rPr>
      <w:i/>
      <w:iCs/>
      <w:color w:val="404040" w:themeColor="text1" w:themeTint="BF"/>
    </w:rPr>
  </w:style>
  <w:style w:type="paragraph" w:styleId="ListParagraph">
    <w:name w:val="List Paragraph"/>
    <w:basedOn w:val="Normal"/>
    <w:uiPriority w:val="34"/>
    <w:qFormat/>
    <w:rsid w:val="00D20BA2"/>
    <w:pPr>
      <w:ind w:left="720"/>
      <w:contextualSpacing/>
    </w:pPr>
  </w:style>
  <w:style w:type="character" w:styleId="IntenseEmphasis">
    <w:name w:val="Intense Emphasis"/>
    <w:basedOn w:val="DefaultParagraphFont"/>
    <w:uiPriority w:val="21"/>
    <w:qFormat/>
    <w:rsid w:val="00D20BA2"/>
    <w:rPr>
      <w:i/>
      <w:iCs/>
      <w:color w:val="2F5496" w:themeColor="accent1" w:themeShade="BF"/>
    </w:rPr>
  </w:style>
  <w:style w:type="paragraph" w:styleId="IntenseQuote">
    <w:name w:val="Intense Quote"/>
    <w:basedOn w:val="Normal"/>
    <w:next w:val="Normal"/>
    <w:link w:val="IntenseQuoteChar"/>
    <w:uiPriority w:val="30"/>
    <w:qFormat/>
    <w:rsid w:val="00D20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BA2"/>
    <w:rPr>
      <w:i/>
      <w:iCs/>
      <w:color w:val="2F5496" w:themeColor="accent1" w:themeShade="BF"/>
    </w:rPr>
  </w:style>
  <w:style w:type="character" w:styleId="IntenseReference">
    <w:name w:val="Intense Reference"/>
    <w:basedOn w:val="DefaultParagraphFont"/>
    <w:uiPriority w:val="32"/>
    <w:qFormat/>
    <w:rsid w:val="00D20BA2"/>
    <w:rPr>
      <w:b/>
      <w:bCs/>
      <w:smallCaps/>
      <w:color w:val="2F5496" w:themeColor="accent1" w:themeShade="BF"/>
      <w:spacing w:val="5"/>
    </w:rPr>
  </w:style>
  <w:style w:type="paragraph" w:styleId="NoSpacing">
    <w:name w:val="No Spacing"/>
    <w:uiPriority w:val="1"/>
    <w:qFormat/>
    <w:rsid w:val="00D20BA2"/>
    <w:pPr>
      <w:spacing w:after="0" w:line="240" w:lineRule="auto"/>
    </w:pPr>
  </w:style>
  <w:style w:type="table" w:styleId="TableGrid">
    <w:name w:val="Table Grid"/>
    <w:basedOn w:val="TableNormal"/>
    <w:uiPriority w:val="39"/>
    <w:rsid w:val="00666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6B02"/>
    <w:rPr>
      <w:b/>
      <w:bCs/>
    </w:rPr>
  </w:style>
  <w:style w:type="character" w:styleId="HTMLCode">
    <w:name w:val="HTML Code"/>
    <w:basedOn w:val="DefaultParagraphFont"/>
    <w:uiPriority w:val="99"/>
    <w:semiHidden/>
    <w:unhideWhenUsed/>
    <w:rsid w:val="00817D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7496</Words>
  <Characters>42730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Anandkumar Pardeshi</dc:creator>
  <cp:keywords/>
  <dc:description/>
  <cp:lastModifiedBy>Anandkumar Pardeshi</cp:lastModifiedBy>
  <cp:revision>2</cp:revision>
  <dcterms:created xsi:type="dcterms:W3CDTF">2026-07-12T05:44:00Z</dcterms:created>
  <dcterms:modified xsi:type="dcterms:W3CDTF">2026-07-12T05:44:00Z</dcterms:modified>
</cp:coreProperties>
</file>