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elacomgrade"/>
        <w:tblW w:w="10915"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81"/>
        <w:gridCol w:w="1701"/>
        <w:gridCol w:w="421"/>
        <w:gridCol w:w="7512"/>
      </w:tblGrid>
      <w:tr w:rsidR="00D945CB" w:rsidRPr="002200C0" w14:paraId="03726461" w14:textId="77777777" w:rsidTr="00E60195">
        <w:trPr>
          <w:trHeight w:val="564"/>
        </w:trPr>
        <w:tc>
          <w:tcPr>
            <w:tcW w:w="10915" w:type="dxa"/>
            <w:gridSpan w:val="4"/>
            <w:vAlign w:val="center"/>
          </w:tcPr>
          <w:p w14:paraId="779753AF" w14:textId="5F7FBA53" w:rsidR="00D945CB" w:rsidRPr="006825C0" w:rsidRDefault="00F56507" w:rsidP="00587233">
            <w:pPr>
              <w:autoSpaceDE w:val="0"/>
              <w:autoSpaceDN w:val="0"/>
              <w:adjustRightInd w:val="0"/>
              <w:jc w:val="center"/>
              <w:rPr>
                <w:rFonts w:ascii="Times New Roman" w:hAnsi="Times New Roman" w:cs="Times New Roman"/>
                <w:b/>
                <w:bCs/>
                <w:color w:val="0070C0"/>
                <w:sz w:val="30"/>
                <w:szCs w:val="30"/>
                <w:lang w:val="en-US"/>
              </w:rPr>
            </w:pPr>
            <w:r>
              <w:rPr>
                <w:rFonts w:ascii="Times New Roman" w:hAnsi="Times New Roman" w:cs="Times New Roman"/>
                <w:b/>
                <w:color w:val="1F4E79" w:themeColor="accent1" w:themeShade="80"/>
                <w:sz w:val="30"/>
                <w:szCs w:val="30"/>
                <w:lang w:val="en-US"/>
              </w:rPr>
              <w:t>AN ATTENUATION-CORRECTED MATCHED FILTER WITH CLOSED-LOOP GAIN DESIGN FOR NEWS-SENTIMENT AGGREGATION IN EQUITY FORECASTING</w:t>
            </w:r>
          </w:p>
        </w:tc>
      </w:tr>
      <w:tr w:rsidR="00D945CB" w:rsidRPr="002200C0" w14:paraId="40C52EBE" w14:textId="77777777" w:rsidTr="004A49F6">
        <w:trPr>
          <w:trHeight w:val="446"/>
        </w:trPr>
        <w:tc>
          <w:tcPr>
            <w:tcW w:w="10915" w:type="dxa"/>
            <w:gridSpan w:val="4"/>
            <w:vAlign w:val="center"/>
          </w:tcPr>
          <w:p w14:paraId="56817DD5" w14:textId="3C18E682" w:rsidR="00D945CB" w:rsidRPr="0034372C" w:rsidRDefault="00F56507" w:rsidP="00D945CB">
            <w:pPr>
              <w:jc w:val="center"/>
              <w:rPr>
                <w:rFonts w:ascii="Times New Roman" w:eastAsia="Times New Roman" w:hAnsi="Times New Roman" w:cs="Times New Roman"/>
                <w:b/>
                <w:bCs/>
                <w:iCs/>
                <w:color w:val="212121"/>
                <w:sz w:val="24"/>
                <w:szCs w:val="24"/>
                <w:lang w:val="en-US" w:eastAsia="pt-BR"/>
              </w:rPr>
            </w:pPr>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b/>
                <w:bCs/>
                <w:iCs/>
                <w:color w:val="212121"/>
                <w:sz w:val="24"/>
                <w:szCs w:val="24"/>
                <w:lang w:val="en-US" w:eastAsia="pt-BR"/>
              </w:rPr>
              <w:t>Anandkumar Pardeshi*</w:t>
            </w:r>
            <w:r>
              <w:rPr>
                <w:rFonts w:ascii="Times New Roman" w:eastAsia="Times New Roman" w:hAnsi="Times New Roman" w:cs="Times New Roman"/>
                <w:b/>
                <w:bCs/>
                <w:iCs/>
                <w:color w:val="212121"/>
                <w:sz w:val="24"/>
                <w:szCs w:val="24"/>
                <w:lang w:val="en-US" w:eastAsia="pt-BR"/>
                <w:vertAlign w:val="superscript"/>
              </w:rPr>
              <w:t>1</w:t>
            </w:r>
            <w:r>
              <w:rPr>
                <w:rFonts w:ascii="Times New Roman" w:eastAsia="Times New Roman" w:hAnsi="Times New Roman" w:cs="Times New Roman"/>
                <w:b/>
                <w:bCs/>
                <w:iCs/>
                <w:color w:val="212121"/>
                <w:sz w:val="24"/>
                <w:szCs w:val="24"/>
                <w:lang w:val="en-US" w:eastAsia="pt-BR"/>
              </w:rPr>
              <w:t xml:space="preserve"> and Sujata Deshmukh</w:t>
            </w:r>
            <w:r>
              <w:rPr>
                <w:rFonts w:ascii="Times New Roman" w:eastAsia="Times New Roman" w:hAnsi="Times New Roman" w:cs="Times New Roman"/>
                <w:b/>
                <w:bCs/>
                <w:iCs/>
                <w:color w:val="212121"/>
                <w:sz w:val="24"/>
                <w:szCs w:val="24"/>
                <w:lang w:val="en-US" w:eastAsia="pt-BR"/>
                <w:vertAlign w:val="superscript"/>
              </w:rPr>
              <w:t>2</w:t>
            </w:r>
          </w:p>
        </w:tc>
      </w:tr>
      <w:tr w:rsidR="00127CF9" w:rsidRPr="00223F91" w14:paraId="7561141C" w14:textId="77777777" w:rsidTr="005C32D5">
        <w:trPr>
          <w:trHeight w:val="584"/>
        </w:trPr>
        <w:tc>
          <w:tcPr>
            <w:tcW w:w="10915" w:type="dxa"/>
            <w:gridSpan w:val="4"/>
            <w:vAlign w:val="center"/>
          </w:tcPr>
          <w:p w14:paraId="5B7A1413" w14:textId="61F418FF" w:rsidR="00D97F56" w:rsidRPr="0042584E" w:rsidRDefault="001E7C13" w:rsidP="00D97F56">
            <w:pPr>
              <w:jc w:val="center"/>
              <w:rPr>
                <w:rFonts w:ascii="Times New Roman" w:eastAsia="Times New Roman" w:hAnsi="Times New Roman" w:cs="Times New Roman"/>
                <w:color w:val="212121"/>
                <w:sz w:val="18"/>
                <w:szCs w:val="18"/>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color w:val="212121"/>
                <w:sz w:val="18"/>
                <w:szCs w:val="18"/>
                <w:vertAlign w:val="superscript"/>
                <w:vertAlign w:val="superscript"/>
              </w:rPr>
              <w:t>1</w:t>
            </w:r>
            <w:r>
              <w:rPr>
                <w:rFonts w:ascii="Times New Roman" w:eastAsia="Times New Roman" w:hAnsi="Times New Roman" w:cs="Times New Roman"/>
                <w:color w:val="212121"/>
                <w:sz w:val="18"/>
                <w:szCs w:val="18"/>
                <w:vertAlign w:val="superscript"/>
              </w:rPr>
              <w:t xml:space="preserve"> Department of Computer Science and Engineering, Fr. C. Rodrigues Institute of Technology, University of Mumbai, Vashi, Navi Mumbai, 400703, India.</w:t>
            </w:r>
          </w:p>
          <w:p>
            <w:pPr>
              <w:jc w:val="center"/>
              <w:rPr>
                <w:rFonts w:ascii="Times New Roman" w:eastAsia="Times New Roman" w:hAnsi="Times New Roman" w:cs="Times New Roman"/>
                <w:color w:val="212121"/>
                <w:sz w:val="18"/>
                <w:szCs w:val="18"/>
              </w:rPr>
            </w:pPr>
            <w:r>
              <w:rPr>
                <w:rFonts w:ascii="Times New Roman" w:eastAsia="Times New Roman" w:hAnsi="Times New Roman" w:cs="Times New Roman"/>
                <w:color w:val="212121"/>
                <w:sz w:val="18"/>
                <w:szCs w:val="18"/>
                <w:vertAlign w:val="superscript"/>
                <w:vertAlign w:val="superscript"/>
              </w:rPr>
              <w:t>2</w:t>
            </w:r>
            <w:r>
              <w:rPr>
                <w:rFonts w:ascii="Times New Roman" w:eastAsia="Times New Roman" w:hAnsi="Times New Roman" w:cs="Times New Roman"/>
                <w:color w:val="212121"/>
                <w:sz w:val="18"/>
                <w:szCs w:val="18"/>
                <w:vertAlign w:val="superscript"/>
              </w:rPr>
              <w:t xml:space="preserve"> Department of Information Technology, Fr. C. Rodrigues Institute of Technology, University of Mumbai, Bandra, Mumbai, 400050, India.</w:t>
            </w:r>
          </w:p>
        </w:tc>
      </w:tr>
      <w:tr w:rsidR="00307B23" w:rsidRPr="00223F91" w14:paraId="6399195A" w14:textId="77777777" w:rsidTr="004A49F6">
        <w:trPr>
          <w:trHeight w:val="546"/>
        </w:trPr>
        <w:tc>
          <w:tcPr>
            <w:tcW w:w="10915" w:type="dxa"/>
            <w:gridSpan w:val="4"/>
            <w:vAlign w:val="center"/>
          </w:tcPr>
          <w:p w14:paraId="59BDDB76" w14:textId="5260E63C" w:rsidR="00307B23" w:rsidRPr="0088738D" w:rsidRDefault="00D1201C" w:rsidP="00D97F56">
            <w:pPr>
              <w:jc w:val="center"/>
              <w:rPr>
                <w:rFonts w:ascii="Times New Roman" w:eastAsia="Times New Roman" w:hAnsi="Times New Roman" w:cs="Times New Roman"/>
                <w:color w:val="212121"/>
                <w:sz w:val="18"/>
                <w:szCs w:val="18"/>
              </w:rPr>
            </w:pPr>
            <w:proofErr w:type="spellStart"/>
            <w:proofErr w:type="spellEnd"/>
            <w:proofErr w:type="spellStart"/>
            <w:proofErr w:type="spellEnd"/>
            <w:r>
              <w:rPr>
                <w:rFonts w:ascii="Times New Roman" w:eastAsia="Times New Roman" w:hAnsi="Times New Roman" w:cs="Times New Roman"/>
                <w:color w:val="212121"/>
                <w:sz w:val="18"/>
                <w:szCs w:val="18"/>
                <w:vertAlign w:val="superscript"/>
                <w:vertAlign w:val="superscript"/>
              </w:rPr>
              <w:t>1</w:t>
            </w:r>
            <w:r>
              <w:rPr>
                <w:rFonts w:ascii="Times New Roman" w:eastAsia="Times New Roman" w:hAnsi="Times New Roman" w:cs="Times New Roman"/>
                <w:color w:val="212121"/>
                <w:sz w:val="18"/>
                <w:szCs w:val="18"/>
                <w:vertAlign w:val="superscript"/>
              </w:rPr>
              <w:t xml:space="preserve"> https://orcid.org/xxxx-xxxx-xxxx-xxxx, </w:t>
            </w:r>
            <w:r>
              <w:rPr>
                <w:rFonts w:ascii="Times New Roman" w:eastAsia="Times New Roman" w:hAnsi="Times New Roman" w:cs="Times New Roman"/>
                <w:color w:val="212121"/>
                <w:sz w:val="18"/>
                <w:szCs w:val="18"/>
                <w:vertAlign w:val="superscript"/>
                <w:vertAlign w:val="superscript"/>
              </w:rPr>
              <w:t>2</w:t>
            </w:r>
            <w:r>
              <w:rPr>
                <w:rFonts w:ascii="Times New Roman" w:eastAsia="Times New Roman" w:hAnsi="Times New Roman" w:cs="Times New Roman"/>
                <w:color w:val="212121"/>
                <w:sz w:val="18"/>
                <w:szCs w:val="18"/>
                <w:vertAlign w:val="superscript"/>
              </w:rPr>
              <w:t xml:space="preserve"> https://orcid.org/xxxx-xxxx-xxxx-xxxx</w:t>
            </w:r>
          </w:p>
        </w:tc>
      </w:tr>
      <w:tr w:rsidR="00127CF9" w:rsidRPr="002200C0" w14:paraId="3EB4B358" w14:textId="77777777" w:rsidTr="00587233">
        <w:trPr>
          <w:trHeight w:val="408"/>
        </w:trPr>
        <w:tc>
          <w:tcPr>
            <w:tcW w:w="10915" w:type="dxa"/>
            <w:gridSpan w:val="4"/>
            <w:tcBorders>
              <w:bottom w:val="single" w:sz="8" w:space="0" w:color="002060"/>
            </w:tcBorders>
            <w:vAlign w:val="center"/>
          </w:tcPr>
          <w:p w14:paraId="284D7600" w14:textId="224FE7F0" w:rsidR="00127CF9" w:rsidRPr="008645A1" w:rsidRDefault="00127CF9" w:rsidP="00127CF9">
            <w:pPr>
              <w:jc w:val="center"/>
              <w:rPr>
                <w:rFonts w:ascii="Times New Roman" w:hAnsi="Times New Roman" w:cs="Times New Roman"/>
                <w:sz w:val="18"/>
                <w:szCs w:val="18"/>
                <w:u w:val="single"/>
                <w:lang w:val="en-US"/>
              </w:rPr>
            </w:pPr>
            <w:r>
              <w:rPr>
                <w:rFonts w:ascii="Times New Roman" w:hAnsi="Times New Roman" w:cs="Times New Roman"/>
                <w:sz w:val="18"/>
                <w:szCs w:val="18"/>
                <w:lang w:val="en-US"/>
              </w:rPr>
              <w:t>Email: *anand.pardeshi@fcrit.ac.in, sujata.deshmukh@fcrit.ac.in</w:t>
            </w:r>
          </w:p>
        </w:tc>
      </w:tr>
      <w:tr w:rsidR="00127CF9" w:rsidRPr="00836876" w14:paraId="08836C17" w14:textId="77777777" w:rsidTr="00587233">
        <w:trPr>
          <w:trHeight w:val="414"/>
        </w:trPr>
        <w:tc>
          <w:tcPr>
            <w:tcW w:w="2982" w:type="dxa"/>
            <w:gridSpan w:val="2"/>
            <w:tcBorders>
              <w:top w:val="single" w:sz="18" w:space="0" w:color="002060"/>
              <w:bottom w:val="single" w:sz="18" w:space="0" w:color="002060"/>
            </w:tcBorders>
            <w:vAlign w:val="center"/>
          </w:tcPr>
          <w:p w14:paraId="35510C8A" w14:textId="77777777" w:rsidR="00127CF9" w:rsidRPr="006825C0" w:rsidRDefault="00127CF9" w:rsidP="00127CF9">
            <w:pPr>
              <w:rPr>
                <w:rFonts w:ascii="Times New Roman" w:hAnsi="Times New Roman" w:cs="Times New Roman"/>
                <w:b/>
                <w:sz w:val="20"/>
                <w:szCs w:val="20"/>
                <w:lang w:val="en-US"/>
              </w:rPr>
            </w:pPr>
            <w:r w:rsidRPr="006825C0">
              <w:rPr>
                <w:rFonts w:ascii="Times New Roman" w:hAnsi="Times New Roman" w:cs="Times New Roman"/>
                <w:b/>
                <w:sz w:val="20"/>
                <w:szCs w:val="20"/>
                <w:lang w:val="en-US"/>
              </w:rPr>
              <w:t>ARTICLE INFO</w:t>
            </w:r>
          </w:p>
        </w:tc>
        <w:tc>
          <w:tcPr>
            <w:tcW w:w="421" w:type="dxa"/>
            <w:tcBorders>
              <w:top w:val="single" w:sz="18" w:space="0" w:color="002060"/>
            </w:tcBorders>
            <w:vAlign w:val="center"/>
          </w:tcPr>
          <w:p w14:paraId="015ACE3F" w14:textId="77777777" w:rsidR="00127CF9" w:rsidRPr="006825C0" w:rsidRDefault="00127CF9" w:rsidP="00127CF9">
            <w:pPr>
              <w:rPr>
                <w:rFonts w:ascii="Times New Roman" w:hAnsi="Times New Roman" w:cs="Times New Roman"/>
                <w:b/>
                <w:sz w:val="20"/>
                <w:szCs w:val="20"/>
                <w:lang w:val="en-US"/>
              </w:rPr>
            </w:pPr>
          </w:p>
        </w:tc>
        <w:tc>
          <w:tcPr>
            <w:tcW w:w="7512" w:type="dxa"/>
            <w:tcBorders>
              <w:top w:val="single" w:sz="18" w:space="0" w:color="002060"/>
              <w:bottom w:val="single" w:sz="18" w:space="0" w:color="002060"/>
            </w:tcBorders>
            <w:vAlign w:val="center"/>
          </w:tcPr>
          <w:p w14:paraId="13A6FEA3" w14:textId="77777777" w:rsidR="00127CF9" w:rsidRPr="006825C0" w:rsidRDefault="00127CF9" w:rsidP="00127CF9">
            <w:pPr>
              <w:rPr>
                <w:rFonts w:ascii="Times New Roman" w:hAnsi="Times New Roman" w:cs="Times New Roman"/>
                <w:b/>
                <w:bCs/>
                <w:caps/>
                <w:color w:val="000000"/>
                <w:sz w:val="20"/>
                <w:szCs w:val="20"/>
                <w:lang w:val="en-US"/>
              </w:rPr>
            </w:pPr>
            <w:r w:rsidRPr="006825C0">
              <w:rPr>
                <w:rFonts w:ascii="Times New Roman" w:hAnsi="Times New Roman" w:cs="Times New Roman"/>
                <w:b/>
                <w:bCs/>
                <w:caps/>
                <w:color w:val="000000"/>
                <w:sz w:val="20"/>
                <w:szCs w:val="20"/>
                <w:lang w:val="en-US"/>
              </w:rPr>
              <w:t>ABSTRACT</w:t>
            </w:r>
          </w:p>
        </w:tc>
      </w:tr>
      <w:tr w:rsidR="00127CF9" w:rsidRPr="002200C0" w14:paraId="2D2659C4" w14:textId="77777777" w:rsidTr="00587233">
        <w:tc>
          <w:tcPr>
            <w:tcW w:w="2982" w:type="dxa"/>
            <w:gridSpan w:val="2"/>
            <w:tcBorders>
              <w:top w:val="single" w:sz="18" w:space="0" w:color="002060"/>
              <w:bottom w:val="single" w:sz="18" w:space="0" w:color="002060"/>
            </w:tcBorders>
          </w:tcPr>
          <w:p w14:paraId="34D6682A" w14:textId="77777777" w:rsidR="00127CF9" w:rsidRPr="00692735" w:rsidRDefault="00127CF9" w:rsidP="00127CF9">
            <w:pPr>
              <w:rPr>
                <w:rFonts w:ascii="Times New Roman" w:hAnsi="Times New Roman" w:cs="Times New Roman"/>
                <w:b/>
                <w:bCs/>
                <w:i/>
                <w:iCs/>
                <w:sz w:val="20"/>
                <w:szCs w:val="20"/>
                <w:lang w:val="en-US"/>
              </w:rPr>
            </w:pPr>
            <w:r w:rsidRPr="00692735">
              <w:rPr>
                <w:rFonts w:ascii="Times New Roman" w:hAnsi="Times New Roman" w:cs="Times New Roman"/>
                <w:b/>
                <w:bCs/>
                <w:i/>
                <w:iCs/>
                <w:sz w:val="20"/>
                <w:szCs w:val="20"/>
                <w:lang w:val="en-US"/>
              </w:rPr>
              <w:t>Article History</w:t>
            </w:r>
          </w:p>
          <w:p w14:paraId="2066DF20" w14:textId="4D879385" w:rsidR="00127CF9" w:rsidRPr="00692735" w:rsidRDefault="00127CF9" w:rsidP="00127CF9">
            <w:pPr>
              <w:rPr>
                <w:rFonts w:ascii="Times New Roman" w:hAnsi="Times New Roman" w:cs="Times New Roman"/>
                <w:bCs/>
                <w:sz w:val="20"/>
                <w:szCs w:val="20"/>
                <w:lang w:val="en-US"/>
              </w:rPr>
            </w:pPr>
            <w:r w:rsidRPr="006825C0">
              <w:rPr>
                <w:rFonts w:ascii="Times New Roman" w:hAnsi="Times New Roman" w:cs="Times New Roman"/>
                <w:bCs/>
                <w:sz w:val="20"/>
                <w:szCs w:val="20"/>
                <w:lang w:val="en-US"/>
              </w:rPr>
              <w:t>Received</w:t>
            </w:r>
            <w:r w:rsidRPr="00FB0004">
              <w:rPr>
                <w:rFonts w:ascii="Times New Roman" w:hAnsi="Times New Roman" w:cs="Times New Roman"/>
                <w:bCs/>
                <w:sz w:val="20"/>
                <w:szCs w:val="20"/>
                <w:lang w:val="en-US"/>
              </w:rPr>
              <w:t xml:space="preserve">: </w:t>
            </w:r>
            <w:r w:rsidR="00A30C8E" w:rsidRPr="00302079">
              <w:rPr>
                <w:rFonts w:ascii="Times New Roman" w:hAnsi="Times New Roman" w:cs="Times New Roman"/>
                <w:bCs/>
                <w:sz w:val="20"/>
                <w:szCs w:val="20"/>
                <w:highlight w:val="yellow"/>
                <w:lang w:val="en-US"/>
              </w:rPr>
              <w:t>Month</w:t>
            </w:r>
            <w:r w:rsidRPr="00302079">
              <w:rPr>
                <w:rFonts w:ascii="Times New Roman" w:hAnsi="Times New Roman" w:cs="Times New Roman"/>
                <w:bCs/>
                <w:sz w:val="20"/>
                <w:szCs w:val="20"/>
                <w:highlight w:val="yellow"/>
                <w:lang w:val="en-US"/>
              </w:rPr>
              <w:t xml:space="preserve"> </w:t>
            </w:r>
            <w:r w:rsidR="00A30C8E" w:rsidRPr="00302079">
              <w:rPr>
                <w:rFonts w:ascii="Times New Roman" w:hAnsi="Times New Roman" w:cs="Times New Roman"/>
                <w:bCs/>
                <w:sz w:val="20"/>
                <w:szCs w:val="20"/>
                <w:highlight w:val="yellow"/>
                <w:lang w:val="en-US"/>
              </w:rPr>
              <w:t>01</w:t>
            </w:r>
            <w:r w:rsidRPr="00302079">
              <w:rPr>
                <w:rFonts w:ascii="Times New Roman" w:hAnsi="Times New Roman" w:cs="Times New Roman"/>
                <w:bCs/>
                <w:sz w:val="20"/>
                <w:szCs w:val="20"/>
                <w:highlight w:val="yellow"/>
                <w:vertAlign w:val="superscript"/>
                <w:lang w:val="en-US"/>
              </w:rPr>
              <w:t>th</w:t>
            </w:r>
            <w:r w:rsidRPr="00302079">
              <w:rPr>
                <w:rFonts w:ascii="Times New Roman" w:hAnsi="Times New Roman" w:cs="Times New Roman"/>
                <w:bCs/>
                <w:sz w:val="20"/>
                <w:szCs w:val="20"/>
                <w:highlight w:val="yellow"/>
                <w:lang w:val="en-US"/>
              </w:rPr>
              <w:t>, 20</w:t>
            </w:r>
            <w:r w:rsidR="00302079" w:rsidRPr="00302079">
              <w:rPr>
                <w:rFonts w:ascii="Times New Roman" w:hAnsi="Times New Roman" w:cs="Times New Roman"/>
                <w:bCs/>
                <w:sz w:val="20"/>
                <w:szCs w:val="20"/>
                <w:highlight w:val="yellow"/>
                <w:lang w:val="en-US"/>
              </w:rPr>
              <w:t>XX</w:t>
            </w:r>
          </w:p>
          <w:p w14:paraId="258A91E0" w14:textId="2F38516A" w:rsidR="00127CF9" w:rsidRPr="008A28D1" w:rsidRDefault="00127CF9" w:rsidP="00127CF9">
            <w:pPr>
              <w:rPr>
                <w:rFonts w:ascii="Times New Roman" w:hAnsi="Times New Roman" w:cs="Times New Roman"/>
                <w:bCs/>
                <w:sz w:val="20"/>
                <w:szCs w:val="20"/>
                <w:lang w:val="en-US"/>
              </w:rPr>
            </w:pPr>
            <w:r w:rsidRPr="008A28D1">
              <w:rPr>
                <w:rFonts w:ascii="Times New Roman" w:hAnsi="Times New Roman" w:cs="Times New Roman"/>
                <w:bCs/>
                <w:sz w:val="20"/>
                <w:szCs w:val="20"/>
                <w:lang w:val="en-US"/>
              </w:rPr>
              <w:t xml:space="preserve">Accepted: </w:t>
            </w:r>
            <w:r w:rsidR="00A30C8E" w:rsidRPr="00302079">
              <w:rPr>
                <w:rFonts w:ascii="Times New Roman" w:hAnsi="Times New Roman" w:cs="Times New Roman"/>
                <w:bCs/>
                <w:sz w:val="20"/>
                <w:szCs w:val="20"/>
                <w:highlight w:val="yellow"/>
                <w:lang w:val="en-US"/>
              </w:rPr>
              <w:t xml:space="preserve">Month </w:t>
            </w:r>
            <w:r w:rsidRPr="00302079">
              <w:rPr>
                <w:rFonts w:ascii="Times New Roman" w:hAnsi="Times New Roman" w:cs="Times New Roman"/>
                <w:bCs/>
                <w:sz w:val="20"/>
                <w:szCs w:val="20"/>
                <w:highlight w:val="yellow"/>
                <w:lang w:val="en-US"/>
              </w:rPr>
              <w:t>1</w:t>
            </w:r>
            <w:r w:rsidR="00A30C8E" w:rsidRPr="00302079">
              <w:rPr>
                <w:rFonts w:ascii="Times New Roman" w:hAnsi="Times New Roman" w:cs="Times New Roman"/>
                <w:bCs/>
                <w:sz w:val="20"/>
                <w:szCs w:val="20"/>
                <w:highlight w:val="yellow"/>
                <w:lang w:val="en-US"/>
              </w:rPr>
              <w:t>5</w:t>
            </w:r>
            <w:r w:rsidRPr="00302079">
              <w:rPr>
                <w:rFonts w:ascii="Times New Roman" w:hAnsi="Times New Roman" w:cs="Times New Roman"/>
                <w:bCs/>
                <w:sz w:val="20"/>
                <w:szCs w:val="20"/>
                <w:highlight w:val="yellow"/>
                <w:vertAlign w:val="superscript"/>
                <w:lang w:val="en-US"/>
              </w:rPr>
              <w:t>th</w:t>
            </w:r>
            <w:r w:rsidRPr="00302079">
              <w:rPr>
                <w:rFonts w:ascii="Times New Roman" w:hAnsi="Times New Roman" w:cs="Times New Roman"/>
                <w:bCs/>
                <w:sz w:val="20"/>
                <w:szCs w:val="20"/>
                <w:highlight w:val="yellow"/>
                <w:lang w:val="en-US"/>
              </w:rPr>
              <w:t>, 20</w:t>
            </w:r>
            <w:r w:rsidR="00302079" w:rsidRPr="00302079">
              <w:rPr>
                <w:rFonts w:ascii="Times New Roman" w:hAnsi="Times New Roman" w:cs="Times New Roman"/>
                <w:bCs/>
                <w:sz w:val="20"/>
                <w:szCs w:val="20"/>
                <w:highlight w:val="yellow"/>
                <w:lang w:val="en-US"/>
              </w:rPr>
              <w:t>XX</w:t>
            </w:r>
          </w:p>
          <w:p w14:paraId="500B05E5" w14:textId="20025CC6" w:rsidR="00127CF9" w:rsidRPr="006825C0" w:rsidRDefault="00127CF9" w:rsidP="00127CF9">
            <w:pPr>
              <w:rPr>
                <w:rFonts w:ascii="Times New Roman" w:hAnsi="Times New Roman" w:cs="Times New Roman"/>
                <w:bCs/>
                <w:sz w:val="20"/>
                <w:szCs w:val="20"/>
                <w:lang w:val="en-US"/>
              </w:rPr>
            </w:pPr>
            <w:r w:rsidRPr="008A28D1">
              <w:rPr>
                <w:rFonts w:ascii="Times New Roman" w:hAnsi="Times New Roman" w:cs="Times New Roman"/>
                <w:bCs/>
                <w:sz w:val="20"/>
                <w:szCs w:val="20"/>
                <w:lang w:val="en-US"/>
              </w:rPr>
              <w:t xml:space="preserve">Published: </w:t>
            </w:r>
            <w:r w:rsidR="00A30C8E" w:rsidRPr="00302079">
              <w:rPr>
                <w:rFonts w:ascii="Times New Roman" w:hAnsi="Times New Roman" w:cs="Times New Roman"/>
                <w:bCs/>
                <w:sz w:val="20"/>
                <w:szCs w:val="20"/>
                <w:highlight w:val="yellow"/>
                <w:lang w:val="en-US"/>
              </w:rPr>
              <w:t xml:space="preserve">Month </w:t>
            </w:r>
            <w:r w:rsidRPr="00302079">
              <w:rPr>
                <w:rFonts w:ascii="Times New Roman" w:hAnsi="Times New Roman" w:cs="Times New Roman"/>
                <w:bCs/>
                <w:sz w:val="20"/>
                <w:szCs w:val="20"/>
                <w:highlight w:val="yellow"/>
                <w:lang w:val="en-US"/>
              </w:rPr>
              <w:t>3</w:t>
            </w:r>
            <w:r w:rsidR="00A30C8E" w:rsidRPr="00302079">
              <w:rPr>
                <w:rFonts w:ascii="Times New Roman" w:hAnsi="Times New Roman" w:cs="Times New Roman"/>
                <w:bCs/>
                <w:sz w:val="20"/>
                <w:szCs w:val="20"/>
                <w:highlight w:val="yellow"/>
                <w:lang w:val="en-US"/>
              </w:rPr>
              <w:t>0</w:t>
            </w:r>
            <w:r w:rsidRPr="00302079">
              <w:rPr>
                <w:rFonts w:ascii="Times New Roman" w:hAnsi="Times New Roman" w:cs="Times New Roman"/>
                <w:bCs/>
                <w:sz w:val="20"/>
                <w:szCs w:val="20"/>
                <w:highlight w:val="yellow"/>
                <w:vertAlign w:val="superscript"/>
                <w:lang w:val="en-US"/>
              </w:rPr>
              <w:t>th</w:t>
            </w:r>
            <w:r w:rsidRPr="00302079">
              <w:rPr>
                <w:rFonts w:ascii="Times New Roman" w:hAnsi="Times New Roman" w:cs="Times New Roman"/>
                <w:bCs/>
                <w:sz w:val="20"/>
                <w:szCs w:val="20"/>
                <w:highlight w:val="yellow"/>
                <w:lang w:val="en-US"/>
              </w:rPr>
              <w:t>, 20</w:t>
            </w:r>
            <w:r w:rsidR="00302079" w:rsidRPr="00302079">
              <w:rPr>
                <w:rFonts w:ascii="Times New Roman" w:hAnsi="Times New Roman" w:cs="Times New Roman"/>
                <w:bCs/>
                <w:sz w:val="20"/>
                <w:szCs w:val="20"/>
                <w:highlight w:val="yellow"/>
                <w:lang w:val="en-US"/>
              </w:rPr>
              <w:t>XX</w:t>
            </w:r>
          </w:p>
          <w:p w14:paraId="51EDF746" w14:textId="77777777" w:rsidR="00127CF9" w:rsidRPr="006825C0" w:rsidRDefault="00127CF9" w:rsidP="00127CF9">
            <w:pPr>
              <w:rPr>
                <w:rFonts w:ascii="Times New Roman" w:hAnsi="Times New Roman" w:cs="Times New Roman"/>
                <w:bCs/>
                <w:sz w:val="18"/>
                <w:szCs w:val="18"/>
                <w:lang w:val="en-US"/>
              </w:rPr>
            </w:pPr>
          </w:p>
        </w:tc>
        <w:tc>
          <w:tcPr>
            <w:tcW w:w="421" w:type="dxa"/>
          </w:tcPr>
          <w:p w14:paraId="313408C1" w14:textId="77777777" w:rsidR="00127CF9" w:rsidRPr="006825C0" w:rsidRDefault="00127CF9" w:rsidP="00127CF9">
            <w:pPr>
              <w:rPr>
                <w:rFonts w:ascii="Times New Roman" w:hAnsi="Times New Roman" w:cs="Times New Roman"/>
                <w:b/>
                <w:sz w:val="18"/>
                <w:szCs w:val="18"/>
                <w:lang w:val="en-US"/>
              </w:rPr>
            </w:pPr>
          </w:p>
          <w:p w14:paraId="3440A32A" w14:textId="77777777" w:rsidR="00127CF9" w:rsidRPr="006825C0" w:rsidRDefault="00127CF9" w:rsidP="00127CF9">
            <w:pPr>
              <w:widowControl w:val="0"/>
              <w:jc w:val="both"/>
              <w:rPr>
                <w:rFonts w:ascii="Times New Roman" w:hAnsi="Times New Roman" w:cs="Times New Roman"/>
                <w:sz w:val="17"/>
                <w:szCs w:val="17"/>
                <w:lang w:val="en-US"/>
              </w:rPr>
            </w:pPr>
          </w:p>
        </w:tc>
        <w:tc>
          <w:tcPr>
            <w:tcW w:w="7512" w:type="dxa"/>
            <w:vMerge w:val="restart"/>
            <w:tcBorders>
              <w:top w:val="single" w:sz="18" w:space="0" w:color="002060"/>
            </w:tcBorders>
          </w:tcPr>
          <w:p w14:paraId="03C5B655" w14:textId="757BBCD6" w:rsidR="00264C5E" w:rsidRPr="006825C0" w:rsidRDefault="00264C5E" w:rsidP="00264C5E">
            <w:pPr>
              <w:jc w:val="both"/>
              <w:rPr>
                <w:rFonts w:ascii="Times New Roman" w:hAnsi="Times New Roman" w:cs="Times New Roman"/>
                <w:bCs/>
                <w:iCs/>
                <w:color w:val="000000"/>
                <w:sz w:val="20"/>
                <w:szCs w:val="20"/>
                <w:lang w:val="en-US"/>
              </w:rPr>
            </w:pPr>
            <w:proofErr w:type="gramStart"/>
            <w:proofErr w:type="gramEnd"/>
            <w:r>
              <w:rPr>
                <w:rFonts w:ascii="Times New Roman" w:hAnsi="Times New Roman" w:cs="Times New Roman"/>
                <w:bCs/>
                <w:iCs/>
                <w:color w:val="000000"/>
                <w:sz w:val="20"/>
                <w:szCs w:val="20"/>
                <w:lang w:val="en-US"/>
              </w:rPr>
              <w:t>Sentiment features for equity forecasting are almost always built by averaging news scores over a fixed window whose length is chosen by search rather than by design. This paper treats that aggregation step as a filter design problem. Sentiment is modelled as a latent signal observed through several mutually independent scorers, and the map from sentiment to a future response is identified as a finite impulse response. Measured sentiment is autocorrelated, so the lagged correlation profile practitioners inspect is the response convolved with that autocorrelation; scorer noise attenuates it further. The cross-covariance of two independent scorers estimates the latent autocovariance at every lag, identifying the noise-free kernel; three scorers identify each scorer's reliability. The matched aggregation filter is derived; its width is governed by scorer reliability rather than by how long news matters. Run as a feedback loop, the same noise tightens the stability bound and slows the optimal gain, both in closed form. On 637,845 real headlines for 226 equities, scorer reliability is near 0.26, the return kernel is short and the volatility kernel persistent, and the loop at the predicted gain roughly doubles the out-of-sample information coefficient of the volatility forecast, exceeding every fixed window considered.</w:t>
            </w:r>
          </w:p>
        </w:tc>
      </w:tr>
      <w:tr w:rsidR="00127CF9" w:rsidRPr="002200C0" w14:paraId="75767533" w14:textId="77777777" w:rsidTr="00587233">
        <w:tc>
          <w:tcPr>
            <w:tcW w:w="2982" w:type="dxa"/>
            <w:gridSpan w:val="2"/>
            <w:tcBorders>
              <w:top w:val="single" w:sz="18" w:space="0" w:color="002060"/>
              <w:bottom w:val="single" w:sz="18" w:space="0" w:color="002060"/>
            </w:tcBorders>
          </w:tcPr>
          <w:p w14:paraId="334E8D5E" w14:textId="77777777" w:rsidR="00127CF9" w:rsidRPr="00692735" w:rsidRDefault="00127CF9" w:rsidP="00127CF9">
            <w:pPr>
              <w:jc w:val="both"/>
              <w:rPr>
                <w:rFonts w:ascii="Times New Roman" w:hAnsi="Times New Roman" w:cs="Times New Roman"/>
                <w:b/>
                <w:bCs/>
                <w:i/>
                <w:color w:val="000000"/>
                <w:sz w:val="20"/>
                <w:szCs w:val="20"/>
                <w:lang w:val="en-US"/>
              </w:rPr>
            </w:pPr>
            <w:r w:rsidRPr="00692735">
              <w:rPr>
                <w:rFonts w:ascii="Times New Roman" w:hAnsi="Times New Roman" w:cs="Times New Roman"/>
                <w:b/>
                <w:bCs/>
                <w:i/>
                <w:color w:val="000000"/>
                <w:sz w:val="20"/>
                <w:szCs w:val="20"/>
                <w:lang w:val="en-US"/>
              </w:rPr>
              <w:t>Keywords:</w:t>
            </w:r>
          </w:p>
          <w:p w14:paraId="65622CB1" w14:textId="6EFDE6EF" w:rsidR="00573F65" w:rsidRPr="00573F65" w:rsidRDefault="00C979FF" w:rsidP="00573F65">
            <w:pPr>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Adaptive filters,</w:t>
            </w:r>
          </w:p>
          <w:p w14:paraId="02595C72" w14:textId="20F7758A" w:rsidR="00573F65" w:rsidRPr="00573F65" w:rsidRDefault="00C979FF" w:rsidP="00573F65">
            <w:pPr>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Least mean squares methods,</w:t>
            </w:r>
          </w:p>
          <w:p w14:paraId="393C223C" w14:textId="61D559FA" w:rsidR="00573F65" w:rsidRPr="00573F65" w:rsidRDefault="00C979FF" w:rsidP="00573F65">
            <w:pPr>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Matched filters,</w:t>
            </w:r>
          </w:p>
          <w:p w14:paraId="776BFEA3" w14:textId="5C674664" w:rsidR="00127CF9" w:rsidRDefault="00C979FF" w:rsidP="00573F65">
            <w:pPr>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Sentiment analysis,</w:t>
            </w:r>
          </w:p>
          <w:p w14:paraId="0104496B" w14:textId="7521B26B" w:rsidR="00C979FF" w:rsidRDefault="00C979FF" w:rsidP="00573F65">
            <w:pPr>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Stock markets.</w:t>
            </w:r>
          </w:p>
        </w:tc>
        <w:tc>
          <w:tcPr>
            <w:tcW w:w="421" w:type="dxa"/>
            <w:tcBorders>
              <w:bottom w:val="single" w:sz="18" w:space="0" w:color="002060"/>
            </w:tcBorders>
          </w:tcPr>
          <w:p w14:paraId="584A0EE6" w14:textId="77777777" w:rsidR="00127CF9" w:rsidRPr="006825C0" w:rsidRDefault="00127CF9" w:rsidP="00127CF9">
            <w:pPr>
              <w:rPr>
                <w:rFonts w:ascii="Times New Roman" w:hAnsi="Times New Roman" w:cs="Times New Roman"/>
                <w:b/>
                <w:sz w:val="18"/>
                <w:szCs w:val="18"/>
                <w:lang w:val="en-US"/>
              </w:rPr>
            </w:pPr>
          </w:p>
        </w:tc>
        <w:tc>
          <w:tcPr>
            <w:tcW w:w="7512" w:type="dxa"/>
            <w:vMerge/>
            <w:tcBorders>
              <w:bottom w:val="single" w:sz="18" w:space="0" w:color="002060"/>
            </w:tcBorders>
          </w:tcPr>
          <w:p w14:paraId="2C2A7FD2" w14:textId="77777777" w:rsidR="00127CF9" w:rsidRPr="006825C0" w:rsidRDefault="00127CF9" w:rsidP="00127CF9">
            <w:pPr>
              <w:jc w:val="both"/>
              <w:rPr>
                <w:rFonts w:ascii="Times New Roman" w:hAnsi="Times New Roman" w:cs="Times New Roman"/>
                <w:bCs/>
                <w:iCs/>
                <w:color w:val="000000"/>
                <w:sz w:val="20"/>
                <w:szCs w:val="20"/>
                <w:lang w:val="en-US"/>
              </w:rPr>
            </w:pPr>
          </w:p>
        </w:tc>
      </w:tr>
      <w:tr w:rsidR="00127CF9" w:rsidRPr="002200C0" w14:paraId="46817D51" w14:textId="77777777" w:rsidTr="00587233">
        <w:trPr>
          <w:trHeight w:val="608"/>
        </w:trPr>
        <w:tc>
          <w:tcPr>
            <w:tcW w:w="1281" w:type="dxa"/>
            <w:tcBorders>
              <w:top w:val="single" w:sz="18" w:space="0" w:color="002060"/>
              <w:bottom w:val="single" w:sz="18" w:space="0" w:color="002060"/>
            </w:tcBorders>
            <w:vAlign w:val="center"/>
          </w:tcPr>
          <w:p w14:paraId="5C7B2488" w14:textId="77777777" w:rsidR="00127CF9" w:rsidRPr="00500BB8" w:rsidRDefault="00127CF9" w:rsidP="00127CF9">
            <w:pPr>
              <w:widowControl w:val="0"/>
              <w:jc w:val="both"/>
              <w:rPr>
                <w:rFonts w:ascii="Times New Roman" w:hAnsi="Times New Roman" w:cs="Times New Roman"/>
                <w:noProof/>
                <w:sz w:val="18"/>
                <w:szCs w:val="18"/>
                <w:lang w:val="en-US" w:eastAsia="pt-BR"/>
              </w:rPr>
            </w:pPr>
            <w:r w:rsidRPr="006825C0">
              <w:rPr>
                <w:rFonts w:ascii="Times New Roman" w:hAnsi="Times New Roman" w:cs="Times New Roman"/>
                <w:noProof/>
                <w:sz w:val="18"/>
                <w:szCs w:val="18"/>
                <w:lang w:eastAsia="pt-BR"/>
              </w:rPr>
              <w:drawing>
                <wp:inline distT="0" distB="0" distL="0" distR="0" wp14:anchorId="70B1770C" wp14:editId="6330F367">
                  <wp:extent cx="741970" cy="261257"/>
                  <wp:effectExtent l="0" t="0" r="1270" b="5715"/>
                  <wp:docPr id="18" name="Imagem 10"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m relacionada"/>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751812" cy="264723"/>
                          </a:xfrm>
                          <a:prstGeom prst="rect">
                            <a:avLst/>
                          </a:prstGeom>
                          <a:noFill/>
                          <a:ln>
                            <a:noFill/>
                          </a:ln>
                        </pic:spPr>
                      </pic:pic>
                    </a:graphicData>
                  </a:graphic>
                </wp:inline>
              </w:drawing>
            </w:r>
          </w:p>
        </w:tc>
        <w:tc>
          <w:tcPr>
            <w:tcW w:w="9634" w:type="dxa"/>
            <w:gridSpan w:val="3"/>
            <w:tcBorders>
              <w:top w:val="single" w:sz="2" w:space="0" w:color="002060"/>
              <w:bottom w:val="single" w:sz="18" w:space="0" w:color="002060"/>
            </w:tcBorders>
            <w:vAlign w:val="center"/>
          </w:tcPr>
          <w:p w14:paraId="7B354ABF" w14:textId="41D7A398" w:rsidR="00127CF9" w:rsidRPr="009921CC" w:rsidRDefault="002462A8" w:rsidP="00127CF9">
            <w:pPr>
              <w:widowControl w:val="0"/>
              <w:jc w:val="both"/>
              <w:rPr>
                <w:rFonts w:ascii="Times New Roman" w:eastAsia="MinionPro-Capt" w:hAnsi="Times New Roman" w:cs="Times New Roman"/>
                <w:color w:val="000000"/>
                <w:sz w:val="16"/>
                <w:szCs w:val="16"/>
                <w:lang w:val="en-US"/>
              </w:rPr>
            </w:pPr>
            <w:r>
              <w:rPr>
                <w:rFonts w:ascii="Times New Roman" w:hAnsi="Times New Roman" w:cs="Times New Roman"/>
                <w:noProof/>
                <w:sz w:val="18"/>
                <w:szCs w:val="18"/>
                <w:lang w:val="en-US"/>
              </w:rPr>
              <w:t>Copyright ©2025</w:t>
            </w:r>
            <w:r w:rsidR="00127CF9" w:rsidRPr="009921CC">
              <w:rPr>
                <w:rFonts w:ascii="Times New Roman" w:hAnsi="Times New Roman" w:cs="Times New Roman"/>
                <w:noProof/>
                <w:sz w:val="18"/>
                <w:szCs w:val="18"/>
                <w:lang w:val="en-US"/>
              </w:rPr>
              <w:t xml:space="preserve"> by authors and Galileo Institute of Technology and Education of the Amazon (ITEGAM). This work is licensed under the Creative Commons Attribution International License (CC BY 4.0).</w:t>
            </w:r>
          </w:p>
        </w:tc>
      </w:tr>
    </w:tbl>
    <w:p w14:paraId="4A2F53D8" w14:textId="77777777" w:rsidR="00362A65" w:rsidRDefault="00362A65" w:rsidP="00B45104">
      <w:pPr>
        <w:tabs>
          <w:tab w:val="left" w:pos="1245"/>
        </w:tabs>
        <w:spacing w:after="0" w:line="240" w:lineRule="auto"/>
        <w:rPr>
          <w:rFonts w:ascii="Times New Roman" w:hAnsi="Times New Roman"/>
          <w:sz w:val="20"/>
          <w:szCs w:val="20"/>
          <w:lang w:val="en-US"/>
        </w:rPr>
      </w:pPr>
    </w:p>
    <w:p w14:paraId="3339A3A8" w14:textId="77777777" w:rsidR="00332426" w:rsidRPr="007C7044" w:rsidRDefault="00332426" w:rsidP="00B45104">
      <w:pPr>
        <w:tabs>
          <w:tab w:val="left" w:pos="1245"/>
        </w:tabs>
        <w:spacing w:after="0" w:line="240" w:lineRule="auto"/>
        <w:rPr>
          <w:rFonts w:ascii="Times New Roman" w:hAnsi="Times New Roman"/>
          <w:sz w:val="20"/>
          <w:szCs w:val="20"/>
          <w:lang w:val="en-US"/>
        </w:rPr>
        <w:sectPr w:rsidR="00332426" w:rsidRPr="007C7044" w:rsidSect="0033475F">
          <w:headerReference w:type="default" r:id="rId11"/>
          <w:footerReference w:type="default" r:id="rId12"/>
          <w:headerReference w:type="first" r:id="rId13"/>
          <w:footerReference w:type="first" r:id="rId14"/>
          <w:headerReference w:type="even" r:id="rId18"/>
          <w:pgSz w:w="11906" w:h="16838"/>
          <w:pgMar w:top="836" w:right="849" w:bottom="1417" w:left="1701" w:header="426" w:footer="0" w:gutter="0"/>
          <w:cols w:space="708"/>
          <w:titlePg/>
          <w:docGrid w:linePitch="360"/>
        </w:sectPr>
      </w:pPr>
    </w:p>
    <w:p>
      <w:pPr>
        <w:spacing w:after="0" w:line="240" w:lineRule="auto"/>
      </w:pPr>
    </w:p>
    <w:p>
      <w:pPr>
        <w:spacing w:line="240" w:lineRule="auto"/>
        <w:jc w:val="center"/>
      </w:pPr>
      <w:r>
        <w:rPr>
          <w:rFonts w:ascii="Times New Roman" w:hAnsi="Times New Roman"/>
          <w:b/>
          <w:bCs/>
          <w:color w:val="1F4E79" w:themeColor="accent1" w:themeShade="80"/>
          <w:sz w:val="20"/>
          <w:szCs w:val="20"/>
          <w:lang w:val="en-US" w:eastAsia="pt-BR"/>
        </w:rPr>
        <w:t>I. INTRODUCTION</w:t>
      </w:r>
    </w:p>
    <w:p>
      <w:pPr>
        <w:spacing w:after="0" w:line="240" w:lineRule="auto"/>
        <w:ind w:firstLine="567"/>
        <w:jc w:val="both"/>
      </w:pPr>
      <w:r>
        <w:rPr>
          <w:rFonts w:ascii="Times New Roman" w:eastAsia="Times New Roman" w:hAnsi="Times New Roman" w:cs="Times New Roman"/>
          <w:color w:val="222222"/>
          <w:sz w:val="20"/>
          <w:szCs w:val="20"/>
          <w:lang w:val="en-US" w:eastAsia="pt-BR"/>
        </w:rPr>
        <w:t>Text-derived sentiment is now a standard input to equity forecasting systems, and a large literature reports that news tone carries information about subsequent returns [1], [2], [3]. Almost every such system contains one step that is chosen by convention rather than by design. Headlines arrive irregularly, whereas a forecasting model consumes one feature per instrument per session, so the scores must be aggregated over some recent window. The window is nearly always a uniform average over a fixed number of days, typically one, three or seven, with the length picked by a grid search on the same data used to fit the model [4], [5], [6], [7]. Surveys of the area treat the aggregation span as a hyper-parameter and not as an object of study [8], [9].</w:t>
      </w:r>
    </w:p>
    <w:p>
      <w:pPr>
        <w:spacing w:after="0" w:line="240" w:lineRule="auto"/>
        <w:ind w:firstLine="567"/>
        <w:jc w:val="both"/>
      </w:pPr>
      <w:r>
        <w:rPr>
          <w:rFonts w:ascii="Times New Roman" w:eastAsia="Times New Roman" w:hAnsi="Times New Roman" w:cs="Times New Roman"/>
          <w:color w:val="222222"/>
          <w:sz w:val="20"/>
          <w:szCs w:val="20"/>
          <w:lang w:val="en-US" w:eastAsia="pt-BR"/>
        </w:rPr>
        <w:t>This paper argues that the aggregation step is a filter design problem with a solvable structure, and that treating it as such changes both what is measured and what is deployed. Two properties of the data make the conventional choice systematically wrong. First, measured sentiment is autocorrelated, because news arrives in bursts and outlets repeat each other, so the lagged correlation between sentiment and future returns is not the response of returns to news; it is that response convolved with the autocorrelation of the sentiment series. Reading the aggregation span off such a profile overstates how long news matters. Second, every sentiment scorer is an error-prone instrument, and the error is large: the four scorers used here agree with one another at correlations between 0.20 and 0.39 at the headline level. Comparisons of lexicon-based and transformer-based tools report the same picture, namely that scorers built on different principles disagree materially on the same text [10], and domain-specific lexica and prompts continue to be constructed precisely because general-purpose polarity is inadequate for financial language [11], [12]. Regressors measured with error produce attenuated and, in the multi-lag case, reshaped coefficients [13], [14].</w:t>
      </w:r>
    </w:p>
    <w:p>
      <w:pPr>
        <w:spacing w:after="0" w:line="240" w:lineRule="auto"/>
        <w:ind w:firstLine="567"/>
        <w:jc w:val="both"/>
      </w:pPr>
      <w:r>
        <w:rPr>
          <w:rFonts w:ascii="Times New Roman" w:eastAsia="Times New Roman" w:hAnsi="Times New Roman" w:cs="Times New Roman"/>
          <w:color w:val="222222"/>
          <w:sz w:val="20"/>
          <w:szCs w:val="20"/>
          <w:lang w:val="en-US" w:eastAsia="pt-BR"/>
        </w:rPr>
        <w:t>The two effects pull in opposite directions and cannot be disentangled by tuning a window length. Autocorrelation smears the apparent response over more lags than it truly occupies, whereas measurement noise shrinks it. This paper separates them. The research question is therefore whether the aggregation window can be derived from measurable properties of the data instead of searched for, and the hypothesis under test is that the width of a good window is set by the quality of the sentiment scorer rather than by how long news actually matters. The key observation is that several sentiment scorers built from independent lexica and independent training corpora are conditionally independent measurements of one latent quantity, so their cross-covariance at every pair of lags estimates the autocovariance of latent sentiment free of scorer noise. That single object identifies both the noise-free response kernel and the reliability of each scorer, and it does so without any distributional assumption beyond uncorrelated scorer errors.</w:t>
      </w:r>
    </w:p>
    <w:p>
      <w:pPr>
        <w:spacing w:after="0" w:line="240" w:lineRule="auto"/>
        <w:ind w:firstLine="567"/>
        <w:jc w:val="both"/>
      </w:pPr>
      <w:r>
        <w:rPr>
          <w:rFonts w:ascii="Times New Roman" w:eastAsia="Times New Roman" w:hAnsi="Times New Roman" w:cs="Times New Roman"/>
          <w:color w:val="222222"/>
          <w:sz w:val="20"/>
          <w:szCs w:val="20"/>
          <w:lang w:val="en-US" w:eastAsia="pt-BR"/>
        </w:rPr>
        <w:t>The contributions are as follows. (i) An identification result: the latent sentiment autocovariance, and hence the noise-corrected response kernel, is recovered from cross-scorer covariances, and with three or more scorers the reliability ratio of each scorer is identified as well. (ii) A design result: the aggregation filter that is optimal for prediction from noisy scores is the noise-whitened matched filter for the identified kernel, and its effective width is governed by the reliability of the scorer rather than by the duration of the true response, which explains why multi-day averaging helps at all. (iii) A loop result: when the filter is adapted online, the measurement noise enters the stability condition directly, tightening the usable gain by the reliability factor, and the gain that minimises steady-state error under drift is derived in closed form and tested against its empirically optimal value. (iv) An evaluation on 637,845 real headlines covering 226 US equities, in which the same machinery is applied to two markedly different responses, next-session return and next-session realised volatility, and is shown to recover a short kernel for the first and a long one for the second. The study is bounded in three ways that Section IV.6 returns to: one vendor's feed, one market, and an identifying assumption that is testable but not free.</w:t>
      </w:r>
    </w:p>
    <w:p>
      <w:pPr>
        <w:spacing w:after="0" w:line="240" w:lineRule="auto"/>
      </w:pPr>
    </w:p>
    <w:p>
      <w:pPr>
        <w:spacing w:line="240" w:lineRule="auto"/>
        <w:jc w:val="center"/>
      </w:pPr>
      <w:r>
        <w:rPr>
          <w:rFonts w:ascii="Times New Roman" w:hAnsi="Times New Roman"/>
          <w:b/>
          <w:bCs/>
          <w:color w:val="1F4E79" w:themeColor="accent1" w:themeShade="80"/>
          <w:sz w:val="20"/>
          <w:szCs w:val="20"/>
          <w:lang w:val="en-US" w:eastAsia="pt-BR"/>
        </w:rPr>
        <w:t>II. THEORETICAL FRAMEWORK</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II.1 NEWS SENTIMENT AND ASSET PRICES</w:t>
      </w:r>
    </w:p>
    <w:p>
      <w:pPr>
        <w:spacing w:after="0" w:line="240" w:lineRule="auto"/>
        <w:ind w:firstLine="567"/>
        <w:jc w:val="both"/>
      </w:pPr>
      <w:r>
        <w:rPr>
          <w:rFonts w:ascii="Times New Roman" w:eastAsia="Times New Roman" w:hAnsi="Times New Roman" w:cs="Times New Roman"/>
          <w:color w:val="222222"/>
          <w:sz w:val="20"/>
          <w:szCs w:val="20"/>
          <w:lang w:val="en-US" w:eastAsia="pt-BR"/>
        </w:rPr>
        <w:t>Quantitative work on news and prices begins with dictionary counts. Tetlock related the fraction of negative words in a daily column to market returns and documented short-lived pressure followed by reversal [1], and later work extended the approach to firm-level stories [2]. Loughran and McDonald showed that general-purpose word lists misclassify financial language and constructed finance-specific lists that are now standard [15], with a later review of the field [9]. Chan documented drift after headline events and reversal after price moves without news [3], which is direct evidence that the response has temporal structure worth estimating.</w:t>
      </w:r>
    </w:p>
    <w:p>
      <w:pPr>
        <w:spacing w:after="0" w:line="240" w:lineRule="auto"/>
        <w:ind w:firstLine="567"/>
        <w:jc w:val="both"/>
      </w:pPr>
      <w:r>
        <w:rPr>
          <w:rFonts w:ascii="Times New Roman" w:eastAsia="Times New Roman" w:hAnsi="Times New Roman" w:cs="Times New Roman"/>
          <w:color w:val="222222"/>
          <w:sz w:val="20"/>
          <w:szCs w:val="20"/>
          <w:lang w:val="en-US" w:eastAsia="pt-BR"/>
        </w:rPr>
        <w:t>Modern systems replace counts with learned encoders. Domain pre-training of transformer encoders on financial text [16], [17] improved sentence-level polarity, and architectures combining text with price history have been proposed in many forms: attention over social media posts [18], [19], hierarchical attention over news [20], gated recurrent hybrids driven by news and technical indicators [4], optimised deep networks driven by investor sentiment [5], mixing modules for movement prediction [6], and chart-image hybrids [7]. Multi-source fusion frameworks combine sentiment with fundamental and technical views [21], [22], and broad surveys cover the deep-learning literature for financial applications [23], [24]. Classical machine-learning baselines remain competitive on index data [25], [26].</w:t>
      </w:r>
    </w:p>
    <w:p>
      <w:pPr>
        <w:spacing w:after="0" w:line="240" w:lineRule="auto"/>
        <w:ind w:firstLine="567"/>
        <w:jc w:val="both"/>
      </w:pPr>
      <w:r>
        <w:rPr>
          <w:rFonts w:ascii="Times New Roman" w:eastAsia="Times New Roman" w:hAnsi="Times New Roman" w:cs="Times New Roman"/>
          <w:color w:val="222222"/>
          <w:sz w:val="20"/>
          <w:szCs w:val="20"/>
          <w:lang w:val="en-US" w:eastAsia="pt-BR"/>
        </w:rPr>
        <w:t>The last five years have moved the field along two axes. On the encoder side, attention networks trained jointly on price and text now set the benchmark for movement prediction [27], adversarial and generative components have been added to the same pipelines [28], and large language models are used both as sentiment scorers and as reasoning layers over the news stream [29], [30], [31]. On the source side, the input has widened from newswire to social-media graphs [32] and to fusions of media reports, retail attention and price history [33], [34], [35]. News flow has also been used directly to forecast realised volatility [36], policy-news indices remain among the strongest known predictors of market volatility [37], and the window over which such a predictor is measured is itself known to change the answer [38]. Systematic reviews of the period agree that text-derived features help and, equally, that reported gains are hard to compare across studies because the preprocessing differs [39], [40]. Work published in this journal follows the same trajectory: transformer encoders have been applied to the polarity of financial news [41], recurrent and attention architectures have been compared directly on financial series [42], and price-movement forecasting has been examined for digital assets [43].</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II.2 THE AGGREGATION CONVENTION AND THE GAP IT LEAVES</w:t>
      </w:r>
    </w:p>
    <w:p>
      <w:pPr>
        <w:spacing w:after="0" w:line="240" w:lineRule="auto"/>
        <w:ind w:firstLine="567"/>
        <w:jc w:val="both"/>
      </w:pPr>
      <w:r>
        <w:rPr>
          <w:rFonts w:ascii="Times New Roman" w:eastAsia="Times New Roman" w:hAnsi="Times New Roman" w:cs="Times New Roman"/>
          <w:color w:val="222222"/>
          <w:sz w:val="20"/>
          <w:szCs w:val="20"/>
          <w:lang w:val="en-US" w:eastAsia="pt-BR"/>
        </w:rPr>
        <w:t>What these systems share is the aggregation convention this paper questions. The sentiment of a session is formed as a mean over a fixed recent window, the window length is selected empirically, and the scorer is treated as if it returned the quantity of interest rather than a noisy proxy for it. The econometrics of measurement error is well developed [13], [14], and identification from multiple indicators of one latent variable is classical [44], but these tools are rarely applied to the sentiment pipeline itself. Similarly, the estimation of a distributed lag is an old problem [45], and its signal-processing counterparts, matched filtering [46], [47] and adaptive transversal filters [48], [49], are standard, yet the aggregation of sentiment is seldom posed in those terms, even though filter design as such continues to be treated as an engineering problem in this journal [50].</w:t>
      </w:r>
    </w:p>
    <w:p>
      <w:pPr>
        <w:spacing w:after="0" w:line="240" w:lineRule="auto"/>
        <w:ind w:firstLine="567"/>
        <w:jc w:val="both"/>
      </w:pPr>
      <w:r>
        <w:rPr>
          <w:rFonts w:ascii="Times New Roman" w:eastAsia="Times New Roman" w:hAnsi="Times New Roman" w:cs="Times New Roman"/>
          <w:color w:val="222222"/>
          <w:sz w:val="20"/>
          <w:szCs w:val="20"/>
          <w:lang w:val="en-US" w:eastAsia="pt-BR"/>
        </w:rPr>
        <w:t>The two literatures the sentiment pipeline does not draw on have themselves moved recently. In measurement-error econometrics, attenuation and its correction have been revisited for straight-line calibration [51] and for models fitted to error-tainted measurements [52]; closest to the present setting, a correction has been derived for regressions whose regressor is the aggregated output of a data-mining model rather than a direct observation [53], which is exactly what a session-level sentiment feature is. In adaptive filtering, the mean-square behaviour of the least-mean-square recursion continues to be sharpened, for cyclostationary and non-Gaussian inputs [54], for algebraically generalised forms of the recursion [55], and in the standard analyses of convergence [56]. Matched filtering likewise remains an active design problem wherever the interference or the covariance has to be estimated rather than assumed [57], [58], [59]. The identifying gap this paper closes is that neither literature has been applied to the step that turns a stream of headlines into one number, and the construction below does exactly that: the measurement model of Section II.3 supplies the latent variable, Sections II.4 and II.5 identify the response kernel from it, and Sections II.6 and II.7 turn that kernel into the filter and the loop that the methodology of Section III then tests.</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II.3 MEASUREMENT MODEL</w:t>
      </w:r>
    </w:p>
    <w:p>
      <w:pPr>
        <w:spacing w:after="0" w:line="240" w:lineRule="auto"/>
        <w:ind w:firstLine="567"/>
        <w:jc w:val="both"/>
      </w:pPr>
      <w:r>
        <w:rPr>
          <w:rFonts w:ascii="Times New Roman" w:eastAsia="Times New Roman" w:hAnsi="Times New Roman" w:cs="Times New Roman"/>
          <w:color w:val="222222"/>
          <w:sz w:val="20"/>
          <w:szCs w:val="20"/>
          <w:lang w:val="en-US" w:eastAsia="pt-BR"/>
        </w:rPr>
        <w:t xml:space="preserve">Let </w:t>
      </w:r>
      <w:r>
        <w:rPr>
          <w:rFonts w:ascii="Times New Roman" w:eastAsia="Times New Roman" w:hAnsi="Times New Roman" w:cs="Times New Roman"/>
          <w:color w:val="222222"/>
          <w:sz w:val="20"/>
          <w:szCs w:val="20"/>
          <w:lang w:val="en-US" w:eastAsia="pt-BR"/>
          <w:i/>
          <w:iCs/>
        </w:rPr>
        <w:t>S</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t</w:t>
      </w:r>
      <w:r>
        <w:rPr>
          <w:rFonts w:ascii="Times New Roman" w:eastAsia="Times New Roman" w:hAnsi="Times New Roman" w:cs="Times New Roman"/>
          <w:color w:val="222222"/>
          <w:sz w:val="20"/>
          <w:szCs w:val="20"/>
          <w:lang w:val="en-US" w:eastAsia="pt-BR"/>
        </w:rPr>
        <w:t xml:space="preserve">) denote the latent sentiment of the news published for one instrument between the close of session t-1 and the close of session </w:t>
      </w:r>
      <w:r>
        <w:rPr>
          <w:rFonts w:ascii="Times New Roman" w:eastAsia="Times New Roman" w:hAnsi="Times New Roman" w:cs="Times New Roman"/>
          <w:color w:val="222222"/>
          <w:sz w:val="20"/>
          <w:szCs w:val="20"/>
          <w:lang w:val="en-US" w:eastAsia="pt-BR"/>
          <w:i/>
          <w:iCs/>
        </w:rPr>
        <w:t>t</w:t>
      </w:r>
      <w:r>
        <w:rPr>
          <w:rFonts w:ascii="Times New Roman" w:eastAsia="Times New Roman" w:hAnsi="Times New Roman" w:cs="Times New Roman"/>
          <w:color w:val="222222"/>
          <w:sz w:val="20"/>
          <w:szCs w:val="20"/>
          <w:lang w:val="en-US" w:eastAsia="pt-BR"/>
        </w:rPr>
        <w:t xml:space="preserve">. It is not observed. Instead </w:t>
      </w:r>
      <w:r>
        <w:rPr>
          <w:rFonts w:ascii="Times New Roman" w:eastAsia="Times New Roman" w:hAnsi="Times New Roman" w:cs="Times New Roman"/>
          <w:color w:val="222222"/>
          <w:sz w:val="20"/>
          <w:szCs w:val="20"/>
          <w:lang w:val="en-US" w:eastAsia="pt-BR"/>
          <w:i/>
          <w:iCs/>
        </w:rPr>
        <w:t>J</w:t>
      </w:r>
      <w:r>
        <w:rPr>
          <w:rFonts w:ascii="Times New Roman" w:eastAsia="Times New Roman" w:hAnsi="Times New Roman" w:cs="Times New Roman"/>
          <w:color w:val="222222"/>
          <w:sz w:val="20"/>
          <w:szCs w:val="20"/>
          <w:lang w:val="en-US" w:eastAsia="pt-BR"/>
        </w:rPr>
        <w:t xml:space="preserve"> scorers are applied to the same headlines and averaged over the session, giving</w:t>
      </w:r>
    </w:p>
    <w:p>
      <w:pPr>
        <w:tabs>
          <w:tab w:val="center" w:pos="5100"/>
          <w:tab w:val="right" w:pos="10800"/>
        </w:tabs>
        <w:spacing w:after="0" w:line="240" w:lineRule="auto"/>
        <w:ind w:firstLine="0"/>
        <w:jc w:val="both"/>
      </w:pPr>
      <w:r>
        <w:rPr>
          <w:rFonts w:ascii="Times New Roman" w:hAnsi="Times New Roman"/>
          <w:bCs/>
          <w:iCs/>
          <w:color w:val="000000"/>
          <w:sz w:val="20"/>
          <w:szCs w:val="20"/>
        </w:rPr>
        <w:tab/>
      </w:r>
      <m:oMath>
        <m:sSub>
          <m:e>
            <m:r>
              <m:t xml:space="preserve">m</m:t>
            </m:r>
          </m:e>
          <m:sub>
            <m:r>
              <m:t xml:space="preserve">i</m:t>
            </m:r>
          </m:sub>
        </m:sSub>
        <m:d>
          <m:dPr>
            <m:begChr m:val="("/>
            <m:endChr m:val=")"/>
          </m:dPr>
          <m:e>
            <m:r>
              <m:t xml:space="preserve">t</m:t>
            </m:r>
          </m:e>
        </m:d>
        <m:r>
          <m:rPr>
            <m:sty m:val="p"/>
          </m:rPr>
          <m:t xml:space="preserve"> = </m:t>
        </m:r>
        <m:sSub>
          <m:e>
            <m:r>
              <m:t xml:space="preserve">a</m:t>
            </m:r>
          </m:e>
          <m:sub>
            <m:r>
              <m:t xml:space="preserve">i</m:t>
            </m:r>
          </m:sub>
        </m:sSub>
        <m:r>
          <m:t xml:space="preserve">S</m:t>
        </m:r>
        <m:d>
          <m:dPr>
            <m:begChr m:val="("/>
            <m:endChr m:val=")"/>
          </m:dPr>
          <m:e>
            <m:r>
              <m:t xml:space="preserve">t</m:t>
            </m:r>
          </m:e>
        </m:d>
        <m:r>
          <m:rPr>
            <m:sty m:val="p"/>
          </m:rPr>
          <m:t xml:space="preserve"> + </m:t>
        </m:r>
        <m:sSub>
          <m:e>
            <m:r>
              <m:t xml:space="preserve">e</m:t>
            </m:r>
          </m:e>
          <m:sub>
            <m:r>
              <m:t xml:space="preserve">i</m:t>
            </m:r>
          </m:sub>
        </m:sSub>
        <m:d>
          <m:dPr>
            <m:begChr m:val="("/>
            <m:endChr m:val=")"/>
          </m:dPr>
          <m:e>
            <m:r>
              <m:t xml:space="preserve">t</m:t>
            </m:r>
          </m:e>
        </m:d>
      </m:oMath>
      <w:r>
        <w:rPr>
          <w:rFonts w:ascii="Times New Roman" w:hAnsi="Times New Roman"/>
          <w:bCs/>
          <w:iCs/>
          <w:color w:val="000000"/>
          <w:sz w:val="20"/>
          <w:szCs w:val="20"/>
        </w:rPr>
        <w:tab/>
        <w:t>(1)</w:t>
      </w:r>
    </w:p>
    <w:p>
      <w:pPr>
        <w:spacing w:after="0" w:line="240" w:lineRule="auto"/>
        <w:ind w:firstLine="567"/>
        <w:jc w:val="both"/>
      </w:pPr>
      <w:r>
        <w:rPr>
          <w:rFonts w:ascii="Times New Roman" w:eastAsia="Times New Roman" w:hAnsi="Times New Roman" w:cs="Times New Roman"/>
          <w:color w:val="222222"/>
          <w:sz w:val="20"/>
          <w:szCs w:val="20"/>
          <w:lang w:val="en-US" w:eastAsia="pt-BR"/>
        </w:rPr>
        <w:t xml:space="preserve">In (1), </w:t>
      </w:r>
      <w:r>
        <w:rPr>
          <w:rFonts w:ascii="Times New Roman" w:eastAsia="Times New Roman" w:hAnsi="Times New Roman" w:cs="Times New Roman"/>
          <w:color w:val="222222"/>
          <w:sz w:val="20"/>
          <w:szCs w:val="20"/>
          <w:lang w:val="en-US" w:eastAsia="pt-BR"/>
          <w:i/>
          <w:iCs/>
        </w:rPr>
        <w:t>i</w:t>
      </w:r>
      <w:r>
        <w:rPr>
          <w:rFonts w:ascii="Times New Roman" w:eastAsia="Times New Roman" w:hAnsi="Times New Roman" w:cs="Times New Roman"/>
          <w:color w:val="222222"/>
          <w:sz w:val="20"/>
          <w:szCs w:val="20"/>
          <w:lang w:val="en-US" w:eastAsia="pt-BR"/>
        </w:rPr>
        <w:t xml:space="preserve"> = 1..</w:t>
      </w:r>
      <w:r>
        <w:rPr>
          <w:rFonts w:ascii="Times New Roman" w:eastAsia="Times New Roman" w:hAnsi="Times New Roman" w:cs="Times New Roman"/>
          <w:color w:val="222222"/>
          <w:sz w:val="20"/>
          <w:szCs w:val="20"/>
          <w:lang w:val="en-US" w:eastAsia="pt-BR"/>
          <w:i/>
          <w:iCs/>
        </w:rPr>
        <w:t>J</w:t>
      </w:r>
      <w:r>
        <w:rPr>
          <w:rFonts w:ascii="Times New Roman" w:eastAsia="Times New Roman" w:hAnsi="Times New Roman" w:cs="Times New Roman"/>
          <w:color w:val="222222"/>
          <w:sz w:val="20"/>
          <w:szCs w:val="20"/>
          <w:lang w:val="en-US" w:eastAsia="pt-BR"/>
        </w:rPr>
        <w:t xml:space="preserve">, and the loading </w:t>
      </w:r>
      <w:r>
        <w:rPr>
          <w:rFonts w:ascii="Times New Roman" w:eastAsia="Times New Roman" w:hAnsi="Times New Roman" w:cs="Times New Roman"/>
          <w:color w:val="222222"/>
          <w:sz w:val="20"/>
          <w:szCs w:val="20"/>
          <w:lang w:val="en-US" w:eastAsia="pt-BR"/>
          <w:i/>
          <w:iCs/>
        </w:rPr>
        <w:t>a</w:t>
      </w:r>
      <w:r>
        <w:rPr>
          <w:rFonts w:ascii="Times New Roman" w:eastAsia="Times New Roman" w:hAnsi="Times New Roman" w:cs="Times New Roman"/>
          <w:color w:val="222222"/>
          <w:sz w:val="20"/>
          <w:szCs w:val="20"/>
          <w:lang w:val="en-US" w:eastAsia="pt-BR"/>
          <w:vertAlign w:val="subscript"/>
        </w:rPr>
        <w:t>i</w:t>
      </w:r>
      <w:r>
        <w:rPr>
          <w:rFonts w:ascii="Times New Roman" w:eastAsia="Times New Roman" w:hAnsi="Times New Roman" w:cs="Times New Roman"/>
          <w:color w:val="222222"/>
          <w:sz w:val="20"/>
          <w:szCs w:val="20"/>
          <w:lang w:val="en-US" w:eastAsia="pt-BR"/>
        </w:rPr>
        <w:t xml:space="preserve"> absorbs the arbitrary scale of each scorer and </w:t>
      </w:r>
      <w:r>
        <w:rPr>
          <w:rFonts w:ascii="Times New Roman" w:eastAsia="Times New Roman" w:hAnsi="Times New Roman" w:cs="Times New Roman"/>
          <w:color w:val="222222"/>
          <w:sz w:val="20"/>
          <w:szCs w:val="20"/>
          <w:lang w:val="en-US" w:eastAsia="pt-BR"/>
          <w:i/>
          <w:iCs/>
        </w:rPr>
        <w:t>e</w:t>
      </w:r>
      <w:r>
        <w:rPr>
          <w:rFonts w:ascii="Times New Roman" w:eastAsia="Times New Roman" w:hAnsi="Times New Roman" w:cs="Times New Roman"/>
          <w:color w:val="222222"/>
          <w:sz w:val="20"/>
          <w:szCs w:val="20"/>
          <w:lang w:val="en-US" w:eastAsia="pt-BR"/>
          <w:vertAlign w:val="subscript"/>
        </w:rPr>
        <w:t>i</w:t>
      </w:r>
      <w:r>
        <w:rPr>
          <w:rFonts w:ascii="Times New Roman" w:eastAsia="Times New Roman" w:hAnsi="Times New Roman" w:cs="Times New Roman"/>
          <w:color w:val="222222"/>
          <w:sz w:val="20"/>
          <w:szCs w:val="20"/>
          <w:lang w:val="en-US" w:eastAsia="pt-BR"/>
        </w:rPr>
        <w:t xml:space="preserve"> is its measurement error. The errors are assumed uncorrelated across scorers and uncorrelated with the response; they need not be white in time, and no distributional form is imposed. The assumption is credible here only because the scorers are built on different principles: a transformer encoder trained on financial text, a finance-specific word list, and a rule-based valence model share no vocabulary construction and no training corpus.</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II.4 IDENTIFICATION FROM CROSS-SCORER COVARIANCE</w:t>
      </w:r>
    </w:p>
    <w:p>
      <w:pPr>
        <w:spacing w:after="0" w:line="240" w:lineRule="auto"/>
        <w:ind w:firstLine="567"/>
        <w:jc w:val="both"/>
      </w:pPr>
      <w:r>
        <w:rPr>
          <w:rFonts w:ascii="Times New Roman" w:eastAsia="Times New Roman" w:hAnsi="Times New Roman" w:cs="Times New Roman"/>
          <w:color w:val="222222"/>
          <w:sz w:val="20"/>
          <w:szCs w:val="20"/>
          <w:lang w:val="en-US" w:eastAsia="pt-BR"/>
        </w:rPr>
        <w:t xml:space="preserve">Write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mm</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j</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k</w:t>
      </w:r>
      <w:r>
        <w:rPr>
          <w:rFonts w:ascii="Times New Roman" w:eastAsia="Times New Roman" w:hAnsi="Times New Roman" w:cs="Times New Roman"/>
          <w:color w:val="222222"/>
          <w:sz w:val="20"/>
          <w:szCs w:val="20"/>
          <w:lang w:val="en-US" w:eastAsia="pt-BR"/>
        </w:rPr>
        <w:t xml:space="preserve">) for the autocovariance of a single scorer at lags </w:t>
      </w:r>
      <w:r>
        <w:rPr>
          <w:rFonts w:ascii="Times New Roman" w:eastAsia="Times New Roman" w:hAnsi="Times New Roman" w:cs="Times New Roman"/>
          <w:color w:val="222222"/>
          <w:sz w:val="20"/>
          <w:szCs w:val="20"/>
          <w:lang w:val="en-US" w:eastAsia="pt-BR"/>
          <w:i/>
          <w:iCs/>
        </w:rPr>
        <w:t>j</w:t>
      </w:r>
      <w:r>
        <w:rPr>
          <w:rFonts w:ascii="Times New Roman" w:eastAsia="Times New Roman" w:hAnsi="Times New Roman" w:cs="Times New Roman"/>
          <w:color w:val="222222"/>
          <w:sz w:val="20"/>
          <w:szCs w:val="20"/>
          <w:lang w:val="en-US" w:eastAsia="pt-BR"/>
        </w:rPr>
        <w:t xml:space="preserve"> and </w:t>
      </w:r>
      <w:r>
        <w:rPr>
          <w:rFonts w:ascii="Times New Roman" w:eastAsia="Times New Roman" w:hAnsi="Times New Roman" w:cs="Times New Roman"/>
          <w:color w:val="222222"/>
          <w:sz w:val="20"/>
          <w:szCs w:val="20"/>
          <w:lang w:val="en-US" w:eastAsia="pt-BR"/>
          <w:i/>
          <w:iCs/>
        </w:rPr>
        <w:t>k</w:t>
      </w:r>
      <w:r>
        <w:rPr>
          <w:rFonts w:ascii="Times New Roman" w:eastAsia="Times New Roman" w:hAnsi="Times New Roman" w:cs="Times New Roman"/>
          <w:color w:val="222222"/>
          <w:sz w:val="20"/>
          <w:szCs w:val="20"/>
          <w:lang w:val="en-US" w:eastAsia="pt-BR"/>
        </w:rPr>
        <w:t xml:space="preserve">, and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SS</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j</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k</w:t>
      </w:r>
      <w:r>
        <w:rPr>
          <w:rFonts w:ascii="Times New Roman" w:eastAsia="Times New Roman" w:hAnsi="Times New Roman" w:cs="Times New Roman"/>
          <w:color w:val="222222"/>
          <w:sz w:val="20"/>
          <w:szCs w:val="20"/>
          <w:lang w:val="en-US" w:eastAsia="pt-BR"/>
        </w:rPr>
        <w:t xml:space="preserve">) for that of latent sentiment. Because the errors of two different scorers are uncorrelated with each other and with </w:t>
      </w:r>
      <w:r>
        <w:rPr>
          <w:rFonts w:ascii="Times New Roman" w:eastAsia="Times New Roman" w:hAnsi="Times New Roman" w:cs="Times New Roman"/>
          <w:color w:val="222222"/>
          <w:sz w:val="20"/>
          <w:szCs w:val="20"/>
          <w:lang w:val="en-US" w:eastAsia="pt-BR"/>
          <w:i/>
          <w:iCs/>
        </w:rPr>
        <w:t>S</w:t>
      </w:r>
      <w:r>
        <w:rPr>
          <w:rFonts w:ascii="Times New Roman" w:eastAsia="Times New Roman" w:hAnsi="Times New Roman" w:cs="Times New Roman"/>
          <w:color w:val="222222"/>
          <w:sz w:val="20"/>
          <w:szCs w:val="20"/>
          <w:lang w:val="en-US" w:eastAsia="pt-BR"/>
        </w:rPr>
        <w:t>,</w:t>
      </w:r>
    </w:p>
    <w:p>
      <w:pPr>
        <w:tabs>
          <w:tab w:val="center" w:pos="5100"/>
          <w:tab w:val="right" w:pos="10800"/>
        </w:tabs>
        <w:spacing w:after="0" w:line="240" w:lineRule="auto"/>
        <w:ind w:firstLine="0"/>
        <w:jc w:val="both"/>
      </w:pPr>
      <w:r>
        <w:rPr>
          <w:rFonts w:ascii="Times New Roman" w:hAnsi="Times New Roman"/>
          <w:bCs/>
          <w:iCs/>
          <w:color w:val="000000"/>
          <w:sz w:val="20"/>
          <w:szCs w:val="20"/>
        </w:rPr>
        <w:tab/>
      </w:r>
      <m:oMath>
        <m:r>
          <m:rPr>
            <m:sty m:val="p"/>
          </m:rPr>
          <m:t xml:space="preserve">E</m:t>
        </m:r>
        <m:d>
          <m:dPr>
            <m:begChr m:val="("/>
            <m:endChr m:val=")"/>
          </m:dPr>
          <m:e>
            <m:sSub>
              <m:e>
                <m:r>
                  <m:t xml:space="preserve">m</m:t>
                </m:r>
              </m:e>
              <m:sub>
                <m:r>
                  <m:t xml:space="preserve">1</m:t>
                </m:r>
              </m:sub>
            </m:sSub>
            <m:d>
              <m:dPr>
                <m:begChr m:val="("/>
                <m:endChr m:val=")"/>
              </m:dPr>
              <m:e>
                <m:r>
                  <m:t xml:space="preserve">t</m:t>
                </m:r>
                <m:r>
                  <m:rPr>
                    <m:sty m:val="p"/>
                  </m:rPr>
                  <m:t xml:space="preserve">-</m:t>
                </m:r>
                <m:r>
                  <m:t xml:space="preserve">j</m:t>
                </m:r>
              </m:e>
            </m:d>
            <m:r>
              <m:rPr>
                <m:sty m:val="p"/>
              </m:rPr>
              <m:t xml:space="preserve"> </m:t>
            </m:r>
            <m:sSub>
              <m:e>
                <m:r>
                  <m:t xml:space="preserve">m</m:t>
                </m:r>
              </m:e>
              <m:sub>
                <m:r>
                  <m:t xml:space="preserve">2</m:t>
                </m:r>
              </m:sub>
            </m:sSub>
            <m:d>
              <m:dPr>
                <m:begChr m:val="("/>
                <m:endChr m:val=")"/>
              </m:dPr>
              <m:e>
                <m:r>
                  <m:t xml:space="preserve">t</m:t>
                </m:r>
                <m:r>
                  <m:rPr>
                    <m:sty m:val="p"/>
                  </m:rPr>
                  <m:t xml:space="preserve">-</m:t>
                </m:r>
                <m:r>
                  <m:t xml:space="preserve">k</m:t>
                </m:r>
              </m:e>
            </m:d>
          </m:e>
        </m:d>
        <m:r>
          <m:rPr>
            <m:sty m:val="p"/>
          </m:rPr>
          <m:t xml:space="preserve"> = </m:t>
        </m:r>
        <m:sSub>
          <m:e>
            <m:r>
              <m:t xml:space="preserve">a</m:t>
            </m:r>
          </m:e>
          <m:sub>
            <m:r>
              <m:t xml:space="preserve">1</m:t>
            </m:r>
          </m:sub>
        </m:sSub>
        <m:sSub>
          <m:e>
            <m:r>
              <m:t xml:space="preserve">a</m:t>
            </m:r>
          </m:e>
          <m:sub>
            <m:r>
              <m:t xml:space="preserve">2</m:t>
            </m:r>
          </m:sub>
        </m:sSub>
        <m:sSub>
          <m:e>
            <m:r>
              <m:t xml:space="preserve">R</m:t>
            </m:r>
          </m:e>
          <m:sub>
            <m:r>
              <m:t xml:space="preserve">SS</m:t>
            </m:r>
          </m:sub>
        </m:sSub>
        <m:d>
          <m:dPr>
            <m:begChr m:val="("/>
            <m:endChr m:val=")"/>
          </m:dPr>
          <m:e>
            <m:r>
              <m:t xml:space="preserve">j</m:t>
            </m:r>
            <m:r>
              <m:rPr>
                <m:sty m:val="p"/>
              </m:rPr>
              <m:t xml:space="preserve">,</m:t>
            </m:r>
            <m:r>
              <m:t xml:space="preserve">k</m:t>
            </m:r>
          </m:e>
        </m:d>
      </m:oMath>
      <w:r>
        <w:rPr>
          <w:rFonts w:ascii="Times New Roman" w:hAnsi="Times New Roman"/>
          <w:bCs/>
          <w:iCs/>
          <w:color w:val="000000"/>
          <w:sz w:val="20"/>
          <w:szCs w:val="20"/>
        </w:rPr>
        <w:tab/>
        <w:t>(2)</w:t>
      </w:r>
    </w:p>
    <w:p>
      <w:pPr>
        <w:spacing w:after="0" w:line="240" w:lineRule="auto"/>
        <w:ind w:firstLine="567"/>
        <w:jc w:val="both"/>
      </w:pPr>
      <w:r>
        <w:rPr>
          <w:rFonts w:ascii="Times New Roman" w:eastAsia="Times New Roman" w:hAnsi="Times New Roman" w:cs="Times New Roman"/>
          <w:color w:val="222222"/>
          <w:sz w:val="20"/>
          <w:szCs w:val="20"/>
          <w:lang w:val="en-US" w:eastAsia="pt-BR"/>
        </w:rPr>
        <w:t xml:space="preserve">so the entire latent autocovariance matrix is identified, up to one positive scale factor, by a cross-covariance that never uses a scorer against itself. This is the device the paper rests on: the diagonal of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mm</w:t>
      </w:r>
      <w:r>
        <w:rPr>
          <w:rFonts w:ascii="Times New Roman" w:eastAsia="Times New Roman" w:hAnsi="Times New Roman" w:cs="Times New Roman"/>
          <w:color w:val="222222"/>
          <w:sz w:val="20"/>
          <w:szCs w:val="20"/>
          <w:lang w:val="en-US" w:eastAsia="pt-BR"/>
        </w:rPr>
        <w:t xml:space="preserve"> is contaminated by error variance, whereas the cross-covariance of two independent scorers is not, at any lag. With </w:t>
      </w:r>
      <w:r>
        <w:rPr>
          <w:rFonts w:ascii="Times New Roman" w:eastAsia="Times New Roman" w:hAnsi="Times New Roman" w:cs="Times New Roman"/>
          <w:color w:val="222222"/>
          <w:sz w:val="20"/>
          <w:szCs w:val="20"/>
          <w:lang w:val="en-US" w:eastAsia="pt-BR"/>
          <w:i/>
          <w:iCs/>
        </w:rPr>
        <w:t>J</w:t>
      </w:r>
      <w:r>
        <w:rPr>
          <w:rFonts w:ascii="Times New Roman" w:eastAsia="Times New Roman" w:hAnsi="Times New Roman" w:cs="Times New Roman"/>
          <w:color w:val="222222"/>
          <w:sz w:val="20"/>
          <w:szCs w:val="20"/>
          <w:lang w:val="en-US" w:eastAsia="pt-BR"/>
        </w:rPr>
        <w:t xml:space="preserve"> = 2 the shape of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SS</w:t>
      </w:r>
      <w:r>
        <w:rPr>
          <w:rFonts w:ascii="Times New Roman" w:eastAsia="Times New Roman" w:hAnsi="Times New Roman" w:cs="Times New Roman"/>
          <w:color w:val="222222"/>
          <w:sz w:val="20"/>
          <w:szCs w:val="20"/>
          <w:lang w:val="en-US" w:eastAsia="pt-BR"/>
        </w:rPr>
        <w:t xml:space="preserve"> is identified but its scale is not; with three scorers the reliability ratio of scorer </w:t>
      </w:r>
      <w:r>
        <w:rPr>
          <w:rFonts w:ascii="Times New Roman" w:eastAsia="Times New Roman" w:hAnsi="Times New Roman" w:cs="Times New Roman"/>
          <w:color w:val="222222"/>
          <w:sz w:val="20"/>
          <w:szCs w:val="20"/>
          <w:lang w:val="en-US" w:eastAsia="pt-BR"/>
          <w:i/>
          <w:iCs/>
        </w:rPr>
        <w:t>i</w:t>
      </w:r>
      <w:r>
        <w:rPr>
          <w:rFonts w:ascii="Times New Roman" w:eastAsia="Times New Roman" w:hAnsi="Times New Roman" w:cs="Times New Roman"/>
          <w:color w:val="222222"/>
          <w:sz w:val="20"/>
          <w:szCs w:val="20"/>
          <w:lang w:val="en-US" w:eastAsia="pt-BR"/>
        </w:rPr>
        <w:t>,</w:t>
      </w:r>
    </w:p>
    <w:p>
      <w:pPr>
        <w:tabs>
          <w:tab w:val="center" w:pos="5100"/>
          <w:tab w:val="right" w:pos="10800"/>
        </w:tabs>
        <w:spacing w:after="0" w:line="240" w:lineRule="auto"/>
        <w:ind w:firstLine="0"/>
        <w:jc w:val="both"/>
      </w:pPr>
      <w:r>
        <w:rPr>
          <w:rFonts w:ascii="Times New Roman" w:hAnsi="Times New Roman"/>
          <w:bCs/>
          <w:iCs/>
          <w:color w:val="000000"/>
          <w:sz w:val="20"/>
          <w:szCs w:val="20"/>
        </w:rPr>
        <w:tab/>
      </w:r>
      <m:oMath>
        <m:sSub>
          <m:e>
            <m:r>
              <m:t xml:space="preserve">λ</m:t>
            </m:r>
          </m:e>
          <m:sub>
            <m:r>
              <m:t xml:space="preserve">i</m:t>
            </m:r>
          </m:sub>
        </m:sSub>
        <m:r>
          <m:rPr>
            <m:sty m:val="p"/>
          </m:rPr>
          <m:t xml:space="preserve"> = </m:t>
        </m:r>
        <m:f>
          <m:fPr>
            <m:type m:val="bar"/>
          </m:fPr>
          <m:num>
            <m:sSup>
              <m:e>
                <m:sSub>
                  <m:e>
                    <m:r>
                      <m:t xml:space="preserve">a</m:t>
                    </m:r>
                  </m:e>
                  <m:sub>
                    <m:r>
                      <m:t xml:space="preserve">i</m:t>
                    </m:r>
                  </m:sub>
                </m:sSub>
              </m:e>
              <m:sup>
                <m:r>
                  <m:t xml:space="preserve">2</m:t>
                </m:r>
              </m:sup>
            </m:sSup>
            <m:sSup>
              <m:e>
                <m:sSub>
                  <m:e>
                    <m:r>
                      <m:t xml:space="preserve">σ</m:t>
                    </m:r>
                  </m:e>
                  <m:sub>
                    <m:r>
                      <m:t xml:space="preserve">S</m:t>
                    </m:r>
                  </m:sub>
                </m:sSub>
              </m:e>
              <m:sup>
                <m:r>
                  <m:t xml:space="preserve">2</m:t>
                </m:r>
              </m:sup>
            </m:sSup>
          </m:num>
          <m:den>
            <m:r>
              <m:rPr>
                <m:sty m:val="p"/>
              </m:rPr>
              <m:t xml:space="preserve">var </m:t>
            </m:r>
            <m:d>
              <m:dPr>
                <m:begChr m:val="("/>
                <m:endChr m:val=")"/>
              </m:dPr>
              <m:e>
                <m:sSub>
                  <m:e>
                    <m:r>
                      <m:t xml:space="preserve">m</m:t>
                    </m:r>
                  </m:e>
                  <m:sub>
                    <m:r>
                      <m:t xml:space="preserve">i</m:t>
                    </m:r>
                  </m:sub>
                </m:sSub>
              </m:e>
            </m:d>
          </m:den>
        </m:f>
        <m:r>
          <m:rPr>
            <m:sty m:val="p"/>
          </m:rPr>
          <m:t xml:space="preserve"> = </m:t>
        </m:r>
        <m:f>
          <m:fPr>
            <m:type m:val="bar"/>
          </m:fPr>
          <m:num>
            <m:r>
              <m:rPr>
                <m:sty m:val="p"/>
              </m:rPr>
              <m:t xml:space="preserve">cov</m:t>
            </m:r>
            <m:d>
              <m:dPr>
                <m:begChr m:val="("/>
                <m:endChr m:val=")"/>
              </m:dPr>
              <m:e>
                <m:sSub>
                  <m:e>
                    <m:r>
                      <m:t xml:space="preserve">m</m:t>
                    </m:r>
                  </m:e>
                  <m:sub>
                    <m:r>
                      <m:t xml:space="preserve">i</m:t>
                    </m:r>
                  </m:sub>
                </m:sSub>
                <m:r>
                  <m:rPr>
                    <m:sty m:val="p"/>
                  </m:rPr>
                  <m:t xml:space="preserve">,</m:t>
                </m:r>
                <m:sSub>
                  <m:e>
                    <m:r>
                      <m:t xml:space="preserve">m</m:t>
                    </m:r>
                  </m:e>
                  <m:sub>
                    <m:r>
                      <m:t xml:space="preserve">j</m:t>
                    </m:r>
                  </m:sub>
                </m:sSub>
              </m:e>
            </m:d>
            <m:r>
              <m:rPr>
                <m:sty m:val="p"/>
              </m:rPr>
              <m:t xml:space="preserve"> cov</m:t>
            </m:r>
            <m:d>
              <m:dPr>
                <m:begChr m:val="("/>
                <m:endChr m:val=")"/>
              </m:dPr>
              <m:e>
                <m:sSub>
                  <m:e>
                    <m:r>
                      <m:t xml:space="preserve">m</m:t>
                    </m:r>
                  </m:e>
                  <m:sub>
                    <m:r>
                      <m:t xml:space="preserve">i</m:t>
                    </m:r>
                  </m:sub>
                </m:sSub>
                <m:r>
                  <m:rPr>
                    <m:sty m:val="p"/>
                  </m:rPr>
                  <m:t xml:space="preserve">,</m:t>
                </m:r>
                <m:sSub>
                  <m:e>
                    <m:r>
                      <m:t xml:space="preserve">m</m:t>
                    </m:r>
                  </m:e>
                  <m:sub>
                    <m:r>
                      <m:t xml:space="preserve">k</m:t>
                    </m:r>
                  </m:sub>
                </m:sSub>
              </m:e>
            </m:d>
          </m:num>
          <m:den>
            <m:r>
              <m:rPr>
                <m:sty m:val="p"/>
              </m:rPr>
              <m:t xml:space="preserve">var</m:t>
            </m:r>
            <m:d>
              <m:dPr>
                <m:begChr m:val="("/>
                <m:endChr m:val=")"/>
              </m:dPr>
              <m:e>
                <m:sSub>
                  <m:e>
                    <m:r>
                      <m:t xml:space="preserve">m</m:t>
                    </m:r>
                  </m:e>
                  <m:sub>
                    <m:r>
                      <m:t xml:space="preserve">i</m:t>
                    </m:r>
                  </m:sub>
                </m:sSub>
              </m:e>
            </m:d>
            <m:r>
              <m:rPr>
                <m:sty m:val="p"/>
              </m:rPr>
              <m:t xml:space="preserve"> cov</m:t>
            </m:r>
            <m:d>
              <m:dPr>
                <m:begChr m:val="("/>
                <m:endChr m:val=")"/>
              </m:dPr>
              <m:e>
                <m:sSub>
                  <m:e>
                    <m:r>
                      <m:t xml:space="preserve">m</m:t>
                    </m:r>
                  </m:e>
                  <m:sub>
                    <m:r>
                      <m:t xml:space="preserve">j</m:t>
                    </m:r>
                  </m:sub>
                </m:sSub>
                <m:r>
                  <m:rPr>
                    <m:sty m:val="p"/>
                  </m:rPr>
                  <m:t xml:space="preserve">,</m:t>
                </m:r>
                <m:sSub>
                  <m:e>
                    <m:r>
                      <m:t xml:space="preserve">m</m:t>
                    </m:r>
                  </m:e>
                  <m:sub>
                    <m:r>
                      <m:t xml:space="preserve">k</m:t>
                    </m:r>
                  </m:sub>
                </m:sSub>
              </m:e>
            </m:d>
          </m:den>
        </m:f>
      </m:oMath>
      <w:r>
        <w:rPr>
          <w:rFonts w:ascii="Times New Roman" w:hAnsi="Times New Roman"/>
          <w:bCs/>
          <w:iCs/>
          <w:color w:val="000000"/>
          <w:sz w:val="20"/>
          <w:szCs w:val="20"/>
        </w:rPr>
        <w:tab/>
        <w:t>(3)</w:t>
      </w:r>
    </w:p>
    <w:p>
      <w:pPr>
        <w:spacing w:after="0" w:line="240" w:lineRule="auto"/>
        <w:ind w:firstLine="567"/>
        <w:jc w:val="both"/>
      </w:pPr>
      <w:r>
        <w:rPr>
          <w:rFonts w:ascii="Times New Roman" w:eastAsia="Times New Roman" w:hAnsi="Times New Roman" w:cs="Times New Roman"/>
          <w:color w:val="222222"/>
          <w:sz w:val="20"/>
          <w:szCs w:val="20"/>
          <w:lang w:val="en-US" w:eastAsia="pt-BR"/>
        </w:rPr>
        <w:t>is identified as well, and is the fraction of the measured variance that is signal [44]. A fourth scorer makes the one-factor model over-identified, so the several estimates of the same reliability provide a consistency check rather than a single unverifiable number. The argument is collected as follows.</w:t>
      </w:r>
    </w:p>
    <w:p>
      <w:pPr>
        <w:spacing w:after="0" w:line="240" w:lineRule="auto"/>
        <w:ind w:firstLine="567"/>
        <w:jc w:val="both"/>
      </w:pPr>
      <w:r>
        <w:rPr>
          <w:rFonts w:ascii="Times New Roman" w:eastAsia="Times New Roman" w:hAnsi="Times New Roman" w:cs="Times New Roman"/>
          <w:color w:val="222222"/>
          <w:sz w:val="20"/>
          <w:szCs w:val="20"/>
          <w:lang w:val="en-US" w:eastAsia="pt-BR"/>
          <w:i/>
          <w:iCs/>
        </w:rPr>
        <w:t>Proposition 1 (identification).</w:t>
      </w:r>
      <w:r>
        <w:rPr>
          <w:rFonts w:ascii="Times New Roman" w:eastAsia="Times New Roman" w:hAnsi="Times New Roman" w:cs="Times New Roman"/>
          <w:color w:val="222222"/>
          <w:sz w:val="20"/>
          <w:szCs w:val="20"/>
          <w:lang w:val="en-US" w:eastAsia="pt-BR"/>
          <w:i/>
          <w:iCs/>
        </w:rPr>
        <w:t xml:space="preserve"> Suppose the scorer errors are mutually uncorrelated, uncorrelated with latent sentiment and uncorrelated with the response. Then (i) the latent autocovariance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i/>
          <w:iCs/>
          <w:vertAlign w:val="subscript"/>
        </w:rPr>
        <w:t>SS</w:t>
      </w:r>
      <w:r>
        <w:rPr>
          <w:rFonts w:ascii="Times New Roman" w:eastAsia="Times New Roman" w:hAnsi="Times New Roman" w:cs="Times New Roman"/>
          <w:color w:val="222222"/>
          <w:sz w:val="20"/>
          <w:szCs w:val="20"/>
          <w:lang w:val="en-US" w:eastAsia="pt-BR"/>
          <w:i/>
          <w:iCs/>
        </w:rPr>
        <w:t xml:space="preserve"> is identified from cross-scorer covariances up to the positive factor </w:t>
      </w:r>
      <w:r>
        <w:rPr>
          <w:rFonts w:ascii="Times New Roman" w:eastAsia="Times New Roman" w:hAnsi="Times New Roman" w:cs="Times New Roman"/>
          <w:color w:val="222222"/>
          <w:sz w:val="20"/>
          <w:szCs w:val="20"/>
          <w:lang w:val="en-US" w:eastAsia="pt-BR"/>
          <w:i/>
          <w:iCs/>
        </w:rPr>
        <w:t>a</w:t>
      </w:r>
      <w:r>
        <w:rPr>
          <w:rFonts w:ascii="Times New Roman" w:eastAsia="Times New Roman" w:hAnsi="Times New Roman" w:cs="Times New Roman"/>
          <w:color w:val="222222"/>
          <w:sz w:val="20"/>
          <w:szCs w:val="20"/>
          <w:lang w:val="en-US" w:eastAsia="pt-BR"/>
          <w:i/>
          <w:iCs/>
          <w:vertAlign w:val="subscript"/>
        </w:rPr>
        <w:t>1</w:t>
      </w:r>
      <w:r>
        <w:rPr>
          <w:rFonts w:ascii="Times New Roman" w:eastAsia="Times New Roman" w:hAnsi="Times New Roman" w:cs="Times New Roman"/>
          <w:color w:val="222222"/>
          <w:sz w:val="20"/>
          <w:szCs w:val="20"/>
          <w:lang w:val="en-US" w:eastAsia="pt-BR"/>
          <w:i/>
          <w:iCs/>
        </w:rPr>
        <w:t>a</w:t>
      </w:r>
      <w:r>
        <w:rPr>
          <w:rFonts w:ascii="Times New Roman" w:eastAsia="Times New Roman" w:hAnsi="Times New Roman" w:cs="Times New Roman"/>
          <w:color w:val="222222"/>
          <w:sz w:val="20"/>
          <w:szCs w:val="20"/>
          <w:lang w:val="en-US" w:eastAsia="pt-BR"/>
          <w:i/>
          <w:iCs/>
          <w:vertAlign w:val="subscript"/>
        </w:rPr>
        <w:t>2</w:t>
      </w:r>
      <w:r>
        <w:rPr>
          <w:rFonts w:ascii="Times New Roman" w:eastAsia="Times New Roman" w:hAnsi="Times New Roman" w:cs="Times New Roman"/>
          <w:color w:val="222222"/>
          <w:sz w:val="20"/>
          <w:szCs w:val="20"/>
          <w:lang w:val="en-US" w:eastAsia="pt-BR"/>
          <w:i/>
          <w:iCs/>
        </w:rPr>
        <w:t>; (ii) the kernel shape is identified without knowing that factor; and (iii) for three or more scorers each reliability ratio is identified exactly.</w:t>
      </w:r>
    </w:p>
    <w:p>
      <w:pPr>
        <w:spacing w:after="0" w:line="240" w:lineRule="auto"/>
        <w:ind w:firstLine="567"/>
        <w:jc w:val="both"/>
      </w:pPr>
      <w:r>
        <w:rPr>
          <w:rFonts w:ascii="Times New Roman" w:eastAsia="Times New Roman" w:hAnsi="Times New Roman" w:cs="Times New Roman"/>
          <w:color w:val="222222"/>
          <w:sz w:val="20"/>
          <w:szCs w:val="20"/>
          <w:lang w:val="en-US" w:eastAsia="pt-BR"/>
        </w:rPr>
        <w:t>Proof. Substituting the measurement model into the cross-covariance and using uncorrelatedness of the two errors gives (2), which proves (i). For (ii), the cross-covariance between a scorer and the response satisfies cov(</w:t>
      </w:r>
      <w:r>
        <w:rPr>
          <w:rFonts w:ascii="Times New Roman" w:eastAsia="Times New Roman" w:hAnsi="Times New Roman" w:cs="Times New Roman"/>
          <w:color w:val="222222"/>
          <w:sz w:val="20"/>
          <w:szCs w:val="20"/>
          <w:lang w:val="en-US" w:eastAsia="pt-BR"/>
          <w:i/>
          <w:iCs/>
        </w:rPr>
        <w:t>m</w:t>
      </w:r>
      <w:r>
        <w:rPr>
          <w:rFonts w:ascii="Times New Roman" w:eastAsia="Times New Roman" w:hAnsi="Times New Roman" w:cs="Times New Roman"/>
          <w:color w:val="222222"/>
          <w:sz w:val="20"/>
          <w:szCs w:val="20"/>
          <w:lang w:val="en-US" w:eastAsia="pt-BR"/>
          <w:vertAlign w:val="subscript"/>
        </w:rPr>
        <w:t>1</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t</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k</w:t>
      </w:r>
      <w:r>
        <w:rPr>
          <w:rFonts w:ascii="Times New Roman" w:eastAsia="Times New Roman" w:hAnsi="Times New Roman" w:cs="Times New Roman"/>
          <w:color w:val="222222"/>
          <w:sz w:val="20"/>
          <w:szCs w:val="20"/>
          <w:lang w:val="en-US" w:eastAsia="pt-BR"/>
        </w:rPr>
        <w:t xml:space="preserve">), </w:t>
      </w:r>
      <w:r>
        <w:rPr>
          <w:rFonts w:ascii="Times New Roman" w:eastAsia="Times New Roman" w:hAnsi="Times New Roman" w:cs="Times New Roman"/>
          <w:color w:val="222222"/>
          <w:sz w:val="20"/>
          <w:szCs w:val="20"/>
          <w:lang w:val="en-US" w:eastAsia="pt-BR"/>
          <w:i/>
          <w:iCs/>
        </w:rPr>
        <w:t>y</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t</w:t>
      </w:r>
      <w:r>
        <w:rPr>
          <w:rFonts w:ascii="Times New Roman" w:eastAsia="Times New Roman" w:hAnsi="Times New Roman" w:cs="Times New Roman"/>
          <w:color w:val="222222"/>
          <w:sz w:val="20"/>
          <w:szCs w:val="20"/>
          <w:lang w:val="en-US" w:eastAsia="pt-BR"/>
        </w:rPr>
        <w:t xml:space="preserve">+1)) = </w:t>
      </w:r>
      <w:r>
        <w:rPr>
          <w:rFonts w:ascii="Times New Roman" w:eastAsia="Times New Roman" w:hAnsi="Times New Roman" w:cs="Times New Roman"/>
          <w:color w:val="222222"/>
          <w:sz w:val="20"/>
          <w:szCs w:val="20"/>
          <w:lang w:val="en-US" w:eastAsia="pt-BR"/>
          <w:i/>
          <w:iCs/>
        </w:rPr>
        <w:t>a</w:t>
      </w:r>
      <w:r>
        <w:rPr>
          <w:rFonts w:ascii="Times New Roman" w:eastAsia="Times New Roman" w:hAnsi="Times New Roman" w:cs="Times New Roman"/>
          <w:color w:val="222222"/>
          <w:sz w:val="20"/>
          <w:szCs w:val="20"/>
          <w:lang w:val="en-US" w:eastAsia="pt-BR"/>
          <w:vertAlign w:val="subscript"/>
        </w:rPr>
        <w:t>1</w:t>
      </w:r>
      <w:r>
        <w:rPr>
          <w:rFonts w:ascii="Times New Roman" w:eastAsia="Times New Roman" w:hAnsi="Times New Roman" w:cs="Times New Roman"/>
          <w:color w:val="222222"/>
          <w:sz w:val="20"/>
          <w:szCs w:val="20"/>
          <w:lang w:val="en-US" w:eastAsia="pt-BR"/>
        </w:rPr>
        <w:t>cov(</w:t>
      </w:r>
      <w:r>
        <w:rPr>
          <w:rFonts w:ascii="Times New Roman" w:eastAsia="Times New Roman" w:hAnsi="Times New Roman" w:cs="Times New Roman"/>
          <w:color w:val="222222"/>
          <w:sz w:val="20"/>
          <w:szCs w:val="20"/>
          <w:lang w:val="en-US" w:eastAsia="pt-BR"/>
          <w:i/>
          <w:iCs/>
        </w:rPr>
        <w:t>S</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t</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k</w:t>
      </w:r>
      <w:r>
        <w:rPr>
          <w:rFonts w:ascii="Times New Roman" w:eastAsia="Times New Roman" w:hAnsi="Times New Roman" w:cs="Times New Roman"/>
          <w:color w:val="222222"/>
          <w:sz w:val="20"/>
          <w:szCs w:val="20"/>
          <w:lang w:val="en-US" w:eastAsia="pt-BR"/>
        </w:rPr>
        <w:t xml:space="preserve">), </w:t>
      </w:r>
      <w:r>
        <w:rPr>
          <w:rFonts w:ascii="Times New Roman" w:eastAsia="Times New Roman" w:hAnsi="Times New Roman" w:cs="Times New Roman"/>
          <w:color w:val="222222"/>
          <w:sz w:val="20"/>
          <w:szCs w:val="20"/>
          <w:lang w:val="en-US" w:eastAsia="pt-BR"/>
          <w:i/>
          <w:iCs/>
        </w:rPr>
        <w:t>y</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t</w:t>
      </w:r>
      <w:r>
        <w:rPr>
          <w:rFonts w:ascii="Times New Roman" w:eastAsia="Times New Roman" w:hAnsi="Times New Roman" w:cs="Times New Roman"/>
          <w:color w:val="222222"/>
          <w:sz w:val="20"/>
          <w:szCs w:val="20"/>
          <w:lang w:val="en-US" w:eastAsia="pt-BR"/>
        </w:rPr>
        <w:t xml:space="preserve">+1)) because the error is uncorrelated with the response, so both sides of the normal equations carry one factor of </w:t>
      </w:r>
      <w:r>
        <w:rPr>
          <w:rFonts w:ascii="Times New Roman" w:eastAsia="Times New Roman" w:hAnsi="Times New Roman" w:cs="Times New Roman"/>
          <w:color w:val="222222"/>
          <w:sz w:val="20"/>
          <w:szCs w:val="20"/>
          <w:lang w:val="en-US" w:eastAsia="pt-BR"/>
          <w:i/>
          <w:iCs/>
        </w:rPr>
        <w:t>a</w:t>
      </w:r>
      <w:r>
        <w:rPr>
          <w:rFonts w:ascii="Times New Roman" w:eastAsia="Times New Roman" w:hAnsi="Times New Roman" w:cs="Times New Roman"/>
          <w:color w:val="222222"/>
          <w:sz w:val="20"/>
          <w:szCs w:val="20"/>
          <w:lang w:val="en-US" w:eastAsia="pt-BR"/>
          <w:vertAlign w:val="subscript"/>
        </w:rPr>
        <w:t>1</w:t>
      </w:r>
      <w:r>
        <w:rPr>
          <w:rFonts w:ascii="Times New Roman" w:eastAsia="Times New Roman" w:hAnsi="Times New Roman" w:cs="Times New Roman"/>
          <w:color w:val="222222"/>
          <w:sz w:val="20"/>
          <w:szCs w:val="20"/>
          <w:lang w:val="en-US" w:eastAsia="pt-BR"/>
        </w:rPr>
        <w:t xml:space="preserve"> and the solution is proportional to the true kernel with proportionality 1/</w:t>
      </w:r>
      <w:r>
        <w:rPr>
          <w:rFonts w:ascii="Times New Roman" w:eastAsia="Times New Roman" w:hAnsi="Times New Roman" w:cs="Times New Roman"/>
          <w:color w:val="222222"/>
          <w:sz w:val="20"/>
          <w:szCs w:val="20"/>
          <w:lang w:val="en-US" w:eastAsia="pt-BR"/>
          <w:i/>
          <w:iCs/>
        </w:rPr>
        <w:t>a</w:t>
      </w:r>
      <w:r>
        <w:rPr>
          <w:rFonts w:ascii="Times New Roman" w:eastAsia="Times New Roman" w:hAnsi="Times New Roman" w:cs="Times New Roman"/>
          <w:color w:val="222222"/>
          <w:sz w:val="20"/>
          <w:szCs w:val="20"/>
          <w:lang w:val="en-US" w:eastAsia="pt-BR"/>
          <w:vertAlign w:val="subscript"/>
        </w:rPr>
        <w:t>2</w:t>
      </w:r>
      <w:r>
        <w:rPr>
          <w:rFonts w:ascii="Times New Roman" w:eastAsia="Times New Roman" w:hAnsi="Times New Roman" w:cs="Times New Roman"/>
          <w:color w:val="222222"/>
          <w:sz w:val="20"/>
          <w:szCs w:val="20"/>
          <w:lang w:val="en-US" w:eastAsia="pt-BR"/>
        </w:rPr>
        <w:t xml:space="preserve">; the shape is therefore free of the unknown scale. For (iii), the three cross-covariances among any triple supply three equations in the three unknown loadings given the latent variance normalisation, whose solution is (3). </w:t>
      </w:r>
    </w:p>
    <w:p>
      <w:pPr>
        <w:spacing w:after="0" w:line="240" w:lineRule="auto"/>
        <w:ind w:firstLine="567"/>
        <w:jc w:val="both"/>
      </w:pPr>
      <w:r>
        <w:rPr>
          <w:rFonts w:ascii="Times New Roman" w:eastAsia="Times New Roman" w:hAnsi="Times New Roman" w:cs="Times New Roman"/>
          <w:color w:val="222222"/>
          <w:sz w:val="20"/>
          <w:szCs w:val="20"/>
          <w:lang w:val="en-US" w:eastAsia="pt-BR"/>
        </w:rPr>
        <w:t>Two consequences are worth stating. The scale ambiguity is harmless for the intended use, since an aggregation filter is applied to measured scores and any constant is absorbed by the regression that maps the feature to the response. And identification fails gracefully rather than silently: if two scorers share part of their error, the corresponding cross-covariance is inflated, the reliability estimated from that pair is biased upwards, and the disagreement between triples exposes it.</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II.5 RESPONSE-KERNEL IDENTIFICATION</w:t>
      </w:r>
    </w:p>
    <w:p>
      <w:pPr>
        <w:spacing w:after="0" w:line="240" w:lineRule="auto"/>
        <w:ind w:firstLine="567"/>
        <w:jc w:val="both"/>
      </w:pPr>
      <w:r>
        <w:rPr>
          <w:rFonts w:ascii="Times New Roman" w:eastAsia="Times New Roman" w:hAnsi="Times New Roman" w:cs="Times New Roman"/>
          <w:color w:val="222222"/>
          <w:sz w:val="20"/>
          <w:szCs w:val="20"/>
          <w:lang w:val="en-US" w:eastAsia="pt-BR"/>
        </w:rPr>
        <w:t xml:space="preserve">Let </w:t>
      </w:r>
      <w:r>
        <w:rPr>
          <w:rFonts w:ascii="Times New Roman" w:eastAsia="Times New Roman" w:hAnsi="Times New Roman" w:cs="Times New Roman"/>
          <w:color w:val="222222"/>
          <w:sz w:val="20"/>
          <w:szCs w:val="20"/>
          <w:lang w:val="en-US" w:eastAsia="pt-BR"/>
          <w:i/>
          <w:iCs/>
        </w:rPr>
        <w:t>y</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t</w:t>
      </w:r>
      <w:r>
        <w:rPr>
          <w:rFonts w:ascii="Times New Roman" w:eastAsia="Times New Roman" w:hAnsi="Times New Roman" w:cs="Times New Roman"/>
          <w:color w:val="222222"/>
          <w:sz w:val="20"/>
          <w:szCs w:val="20"/>
          <w:lang w:val="en-US" w:eastAsia="pt-BR"/>
        </w:rPr>
        <w:t xml:space="preserve">) denote the response to be predicted, realised over sessions after </w:t>
      </w:r>
      <w:r>
        <w:rPr>
          <w:rFonts w:ascii="Times New Roman" w:eastAsia="Times New Roman" w:hAnsi="Times New Roman" w:cs="Times New Roman"/>
          <w:color w:val="222222"/>
          <w:sz w:val="20"/>
          <w:szCs w:val="20"/>
          <w:lang w:val="en-US" w:eastAsia="pt-BR"/>
          <w:i/>
          <w:iCs/>
        </w:rPr>
        <w:t>t</w:t>
      </w:r>
      <w:r>
        <w:rPr>
          <w:rFonts w:ascii="Times New Roman" w:eastAsia="Times New Roman" w:hAnsi="Times New Roman" w:cs="Times New Roman"/>
          <w:color w:val="222222"/>
          <w:sz w:val="20"/>
          <w:szCs w:val="20"/>
          <w:lang w:val="en-US" w:eastAsia="pt-BR"/>
        </w:rPr>
        <w:t>, and model it as the output of a finite impulse response driven by latent sentiment,</w:t>
      </w:r>
    </w:p>
    <w:p>
      <w:pPr>
        <w:tabs>
          <w:tab w:val="center" w:pos="5100"/>
          <w:tab w:val="right" w:pos="10800"/>
        </w:tabs>
        <w:spacing w:after="0" w:line="240" w:lineRule="auto"/>
        <w:ind w:firstLine="0"/>
        <w:jc w:val="both"/>
      </w:pPr>
      <w:r>
        <w:rPr>
          <w:rFonts w:ascii="Times New Roman" w:hAnsi="Times New Roman"/>
          <w:bCs/>
          <w:iCs/>
          <w:color w:val="000000"/>
          <w:sz w:val="20"/>
          <w:szCs w:val="20"/>
        </w:rPr>
        <w:tab/>
      </w:r>
      <m:oMath>
        <m:r>
          <m:t xml:space="preserve">y</m:t>
        </m:r>
        <m:d>
          <m:dPr>
            <m:begChr m:val="("/>
            <m:endChr m:val=")"/>
          </m:dPr>
          <m:e>
            <m:r>
              <m:t xml:space="preserve">t</m:t>
            </m:r>
            <m:r>
              <m:rPr>
                <m:sty m:val="p"/>
              </m:rPr>
              <m:t xml:space="preserve">+1</m:t>
            </m:r>
          </m:e>
        </m:d>
        <m:r>
          <m:rPr>
            <m:sty m:val="p"/>
          </m:rPr>
          <m:t xml:space="preserve"> = </m:t>
        </m:r>
        <m:nary>
          <m:naryPr>
            <m:chr m:val="∑"/>
            <m:limLoc m:val="undOvr"/>
          </m:naryPr>
          <m:sub>
            <m:r>
              <m:t xml:space="preserve">k</m:t>
            </m:r>
            <m:r>
              <m:rPr>
                <m:sty m:val="p"/>
              </m:rPr>
              <m:t xml:space="preserve">=0</m:t>
            </m:r>
          </m:sub>
          <m:sup>
            <m:r>
              <m:t xml:space="preserve">K</m:t>
            </m:r>
            <m:r>
              <m:rPr>
                <m:sty m:val="p"/>
              </m:rPr>
              <m:t xml:space="preserve">-1</m:t>
            </m:r>
          </m:sup>
          <m:e>
            <m:r>
              <m:t xml:space="preserve">g</m:t>
            </m:r>
            <m:d>
              <m:dPr>
                <m:begChr m:val="("/>
                <m:endChr m:val=")"/>
              </m:dPr>
              <m:e>
                <m:r>
                  <m:t xml:space="preserve">k</m:t>
                </m:r>
              </m:e>
            </m:d>
            <m:r>
              <m:t xml:space="preserve">S</m:t>
            </m:r>
            <m:d>
              <m:dPr>
                <m:begChr m:val="("/>
                <m:endChr m:val=")"/>
              </m:dPr>
              <m:e>
                <m:r>
                  <m:t xml:space="preserve">t</m:t>
                </m:r>
                <m:r>
                  <m:rPr>
                    <m:sty m:val="p"/>
                  </m:rPr>
                  <m:t xml:space="preserve">-</m:t>
                </m:r>
                <m:r>
                  <m:t xml:space="preserve">k</m:t>
                </m:r>
              </m:e>
            </m:d>
          </m:e>
        </m:nary>
        <m:r>
          <m:rPr>
            <m:sty m:val="p"/>
          </m:rPr>
          <m:t xml:space="preserve"> + </m:t>
        </m:r>
        <m:r>
          <m:t xml:space="preserve">ε</m:t>
        </m:r>
        <m:d>
          <m:dPr>
            <m:begChr m:val="("/>
            <m:endChr m:val=")"/>
          </m:dPr>
          <m:e>
            <m:r>
              <m:t xml:space="preserve">t</m:t>
            </m:r>
          </m:e>
        </m:d>
      </m:oMath>
      <w:r>
        <w:rPr>
          <w:rFonts w:ascii="Times New Roman" w:hAnsi="Times New Roman"/>
          <w:bCs/>
          <w:iCs/>
          <w:color w:val="000000"/>
          <w:sz w:val="20"/>
          <w:szCs w:val="20"/>
        </w:rPr>
        <w:tab/>
        <w:t>(4)</w:t>
      </w:r>
    </w:p>
    <w:p>
      <w:pPr>
        <w:spacing w:after="0" w:line="240" w:lineRule="auto"/>
        <w:ind w:firstLine="567"/>
        <w:jc w:val="both"/>
      </w:pPr>
      <w:r>
        <w:rPr>
          <w:rFonts w:ascii="Times New Roman" w:eastAsia="Times New Roman" w:hAnsi="Times New Roman" w:cs="Times New Roman"/>
          <w:color w:val="222222"/>
          <w:sz w:val="20"/>
          <w:szCs w:val="20"/>
          <w:lang w:val="en-US" w:eastAsia="pt-BR"/>
        </w:rPr>
        <w:t xml:space="preserve">The kernel in (4) is not what a practitioner usually inspects; the familiar object is the lag profile </w:t>
      </w:r>
      <w:r>
        <w:rPr>
          <w:rFonts w:ascii="Times New Roman" w:eastAsia="Times New Roman" w:hAnsi="Times New Roman" w:cs="Times New Roman"/>
          <w:color w:val="222222"/>
          <w:sz w:val="20"/>
          <w:szCs w:val="20"/>
          <w:lang w:val="en-US" w:eastAsia="pt-BR"/>
          <w:i/>
          <w:iCs/>
        </w:rPr>
        <w:t>p</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k</w:t>
      </w:r>
      <w:r>
        <w:rPr>
          <w:rFonts w:ascii="Times New Roman" w:eastAsia="Times New Roman" w:hAnsi="Times New Roman" w:cs="Times New Roman"/>
          <w:color w:val="222222"/>
          <w:sz w:val="20"/>
          <w:szCs w:val="20"/>
          <w:lang w:val="en-US" w:eastAsia="pt-BR"/>
        </w:rPr>
        <w:t xml:space="preserve">), the slope of a separate univariate regression of the response on sentiment at each lag. Collecting </w:t>
      </w:r>
      <w:r>
        <w:rPr>
          <w:rFonts w:ascii="Times New Roman" w:eastAsia="Times New Roman" w:hAnsi="Times New Roman" w:cs="Times New Roman"/>
          <w:color w:val="222222"/>
          <w:sz w:val="20"/>
          <w:szCs w:val="20"/>
          <w:lang w:val="en-US" w:eastAsia="pt-BR"/>
          <w:i/>
          <w:iCs/>
        </w:rPr>
        <w:t>c</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k</w:t>
      </w:r>
      <w:r>
        <w:rPr>
          <w:rFonts w:ascii="Times New Roman" w:eastAsia="Times New Roman" w:hAnsi="Times New Roman" w:cs="Times New Roman"/>
          <w:color w:val="222222"/>
          <w:sz w:val="20"/>
          <w:szCs w:val="20"/>
          <w:lang w:val="en-US" w:eastAsia="pt-BR"/>
        </w:rPr>
        <w:t>) = cov(</w:t>
      </w:r>
      <w:r>
        <w:rPr>
          <w:rFonts w:ascii="Times New Roman" w:eastAsia="Times New Roman" w:hAnsi="Times New Roman" w:cs="Times New Roman"/>
          <w:color w:val="222222"/>
          <w:sz w:val="20"/>
          <w:szCs w:val="20"/>
          <w:lang w:val="en-US" w:eastAsia="pt-BR"/>
          <w:i/>
          <w:iCs/>
        </w:rPr>
        <w:t>m</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t</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k</w:t>
      </w:r>
      <w:r>
        <w:rPr>
          <w:rFonts w:ascii="Times New Roman" w:eastAsia="Times New Roman" w:hAnsi="Times New Roman" w:cs="Times New Roman"/>
          <w:color w:val="222222"/>
          <w:sz w:val="20"/>
          <w:szCs w:val="20"/>
          <w:lang w:val="en-US" w:eastAsia="pt-BR"/>
        </w:rPr>
        <w:t xml:space="preserve">), </w:t>
      </w:r>
      <w:r>
        <w:rPr>
          <w:rFonts w:ascii="Times New Roman" w:eastAsia="Times New Roman" w:hAnsi="Times New Roman" w:cs="Times New Roman"/>
          <w:color w:val="222222"/>
          <w:sz w:val="20"/>
          <w:szCs w:val="20"/>
          <w:lang w:val="en-US" w:eastAsia="pt-BR"/>
          <w:i/>
          <w:iCs/>
        </w:rPr>
        <w:t>y</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t</w:t>
      </w:r>
      <w:r>
        <w:rPr>
          <w:rFonts w:ascii="Times New Roman" w:eastAsia="Times New Roman" w:hAnsi="Times New Roman" w:cs="Times New Roman"/>
          <w:color w:val="222222"/>
          <w:sz w:val="20"/>
          <w:szCs w:val="20"/>
          <w:lang w:val="en-US" w:eastAsia="pt-BR"/>
        </w:rPr>
        <w:t xml:space="preserve">+1)) and noting </w:t>
      </w:r>
      <w:r>
        <w:rPr>
          <w:rFonts w:ascii="Times New Roman" w:eastAsia="Times New Roman" w:hAnsi="Times New Roman" w:cs="Times New Roman"/>
          <w:color w:val="222222"/>
          <w:sz w:val="20"/>
          <w:szCs w:val="20"/>
          <w:lang w:val="en-US" w:eastAsia="pt-BR"/>
          <w:i/>
          <w:iCs/>
        </w:rPr>
        <w:t>c</w:t>
      </w:r>
      <w:r>
        <w:rPr>
          <w:rFonts w:ascii="Times New Roman" w:eastAsia="Times New Roman" w:hAnsi="Times New Roman" w:cs="Times New Roman"/>
          <w:color w:val="222222"/>
          <w:sz w:val="20"/>
          <w:szCs w:val="20"/>
          <w:lang w:val="en-US" w:eastAsia="pt-BR"/>
        </w:rPr>
        <w:t xml:space="preserve"> =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SS</w:t>
      </w:r>
      <w:r>
        <w:rPr>
          <w:rFonts w:ascii="Times New Roman" w:eastAsia="Times New Roman" w:hAnsi="Times New Roman" w:cs="Times New Roman"/>
          <w:color w:val="222222"/>
          <w:sz w:val="20"/>
          <w:szCs w:val="20"/>
          <w:lang w:val="en-US" w:eastAsia="pt-BR"/>
          <w:i/>
          <w:iCs/>
        </w:rPr>
        <w:t>g</w:t>
      </w:r>
      <w:r>
        <w:rPr>
          <w:rFonts w:ascii="Times New Roman" w:eastAsia="Times New Roman" w:hAnsi="Times New Roman" w:cs="Times New Roman"/>
          <w:color w:val="222222"/>
          <w:sz w:val="20"/>
          <w:szCs w:val="20"/>
          <w:lang w:val="en-US" w:eastAsia="pt-BR"/>
        </w:rPr>
        <w:t>, the profile and the kernel are related by</w:t>
      </w:r>
    </w:p>
    <w:p>
      <w:pPr>
        <w:tabs>
          <w:tab w:val="center" w:pos="5100"/>
          <w:tab w:val="right" w:pos="10800"/>
        </w:tabs>
        <w:spacing w:after="0" w:line="240" w:lineRule="auto"/>
        <w:ind w:firstLine="0"/>
        <w:jc w:val="both"/>
      </w:pPr>
      <w:r>
        <w:rPr>
          <w:rFonts w:ascii="Times New Roman" w:hAnsi="Times New Roman"/>
          <w:bCs/>
          <w:iCs/>
          <w:color w:val="000000"/>
          <w:sz w:val="20"/>
          <w:szCs w:val="20"/>
        </w:rPr>
        <w:tab/>
      </w:r>
      <m:oMath>
        <m:r>
          <m:t xml:space="preserve">p</m:t>
        </m:r>
        <m:r>
          <m:rPr>
            <m:sty m:val="p"/>
          </m:rPr>
          <m:t xml:space="preserve"> = </m:t>
        </m:r>
        <m:sSup>
          <m:e>
            <m:d>
              <m:dPr>
                <m:begChr m:val="("/>
                <m:endChr m:val=")"/>
              </m:dPr>
              <m:e>
                <m:r>
                  <m:rPr>
                    <m:sty m:val="p"/>
                  </m:rPr>
                  <m:t xml:space="preserve">diag </m:t>
                </m:r>
                <m:sSub>
                  <m:e>
                    <m:r>
                      <m:t xml:space="preserve">R</m:t>
                    </m:r>
                  </m:e>
                  <m:sub>
                    <m:r>
                      <m:t xml:space="preserve">mm</m:t>
                    </m:r>
                  </m:sub>
                </m:sSub>
              </m:e>
            </m:d>
          </m:e>
          <m:sup>
            <m:r>
              <m:rPr>
                <m:sty m:val="p"/>
              </m:rPr>
              <m:t xml:space="preserve">-1</m:t>
            </m:r>
          </m:sup>
        </m:sSup>
        <m:sSub>
          <m:e>
            <m:r>
              <m:t xml:space="preserve">R</m:t>
            </m:r>
          </m:e>
          <m:sub>
            <m:r>
              <m:t xml:space="preserve">SS</m:t>
            </m:r>
          </m:sub>
        </m:sSub>
        <m:r>
          <m:t xml:space="preserve">g</m:t>
        </m:r>
      </m:oMath>
      <w:r>
        <w:rPr>
          <w:rFonts w:ascii="Times New Roman" w:hAnsi="Times New Roman"/>
          <w:bCs/>
          <w:iCs/>
          <w:color w:val="000000"/>
          <w:sz w:val="20"/>
          <w:szCs w:val="20"/>
        </w:rPr>
        <w:tab/>
        <w:t>(5)</w:t>
      </w:r>
    </w:p>
    <w:p>
      <w:pPr>
        <w:spacing w:after="0" w:line="240" w:lineRule="auto"/>
        <w:ind w:firstLine="567"/>
        <w:jc w:val="both"/>
      </w:pPr>
      <w:r>
        <w:rPr>
          <w:rFonts w:ascii="Times New Roman" w:eastAsia="Times New Roman" w:hAnsi="Times New Roman" w:cs="Times New Roman"/>
          <w:color w:val="222222"/>
          <w:sz w:val="20"/>
          <w:szCs w:val="20"/>
          <w:lang w:val="en-US" w:eastAsia="pt-BR"/>
        </w:rPr>
        <w:t xml:space="preserve">which shows the two distortions explicitly. The off-diagonal mass of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SS</w:t>
      </w:r>
      <w:r>
        <w:rPr>
          <w:rFonts w:ascii="Times New Roman" w:eastAsia="Times New Roman" w:hAnsi="Times New Roman" w:cs="Times New Roman"/>
          <w:color w:val="222222"/>
          <w:sz w:val="20"/>
          <w:szCs w:val="20"/>
          <w:lang w:val="en-US" w:eastAsia="pt-BR"/>
        </w:rPr>
        <w:t xml:space="preserve"> spreads the profile over lags that the kernel does not occupy, and the error variance inside diag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mm</w:t>
      </w:r>
      <w:r>
        <w:rPr>
          <w:rFonts w:ascii="Times New Roman" w:eastAsia="Times New Roman" w:hAnsi="Times New Roman" w:cs="Times New Roman"/>
          <w:color w:val="222222"/>
          <w:sz w:val="20"/>
          <w:szCs w:val="20"/>
          <w:lang w:val="en-US" w:eastAsia="pt-BR"/>
        </w:rPr>
        <w:t xml:space="preserve"> shrinks it. Neither distortion is a scalar rescaling once K &gt; 1, so a profile cannot be repaired by normalisation; the operator must be inverted. Solving the normal equations with the noise-free autocovariance gives the corrected kernel, whereas solving them with the observed one gives the conventional deconvolution:</w:t>
      </w:r>
    </w:p>
    <w:p>
      <w:pPr>
        <w:tabs>
          <w:tab w:val="center" w:pos="5100"/>
          <w:tab w:val="right" w:pos="10800"/>
        </w:tabs>
        <w:spacing w:after="0" w:line="240" w:lineRule="auto"/>
        <w:ind w:firstLine="0"/>
        <w:jc w:val="both"/>
      </w:pPr>
      <w:r>
        <w:rPr>
          <w:rFonts w:ascii="Times New Roman" w:hAnsi="Times New Roman"/>
          <w:bCs/>
          <w:iCs/>
          <w:color w:val="000000"/>
          <w:sz w:val="20"/>
          <w:szCs w:val="20"/>
        </w:rPr>
        <w:tab/>
      </w:r>
      <m:oMath>
        <m:acc>
          <m:accPr>
            <m:chr m:val="̃"/>
          </m:accPr>
          <m:e>
            <m:r>
              <m:t xml:space="preserve">g</m:t>
            </m:r>
          </m:e>
        </m:acc>
        <m:r>
          <m:rPr>
            <m:sty m:val="p"/>
          </m:rPr>
          <m:t xml:space="preserve"> = </m:t>
        </m:r>
        <m:sSup>
          <m:e>
            <m:d>
              <m:dPr>
                <m:begChr m:val="("/>
                <m:endChr m:val=")"/>
              </m:dPr>
              <m:e>
                <m:sSub>
                  <m:e>
                    <m:r>
                      <m:t xml:space="preserve">R</m:t>
                    </m:r>
                  </m:e>
                  <m:sub>
                    <m:r>
                      <m:t xml:space="preserve">SS</m:t>
                    </m:r>
                  </m:sub>
                </m:sSub>
                <m:r>
                  <m:rPr>
                    <m:sty m:val="p"/>
                  </m:rPr>
                  <m:t xml:space="preserve"> + </m:t>
                </m:r>
                <m:r>
                  <m:t xml:space="preserve">α</m:t>
                </m:r>
                <m:sSup>
                  <m:e>
                    <m:r>
                      <m:t xml:space="preserve">D</m:t>
                    </m:r>
                  </m:e>
                  <m:sup>
                    <m:r>
                      <m:t xml:space="preserve">T</m:t>
                    </m:r>
                  </m:sup>
                </m:sSup>
                <m:r>
                  <m:t xml:space="preserve">D</m:t>
                </m:r>
              </m:e>
            </m:d>
          </m:e>
          <m:sup>
            <m:r>
              <m:rPr>
                <m:sty m:val="p"/>
              </m:rPr>
              <m:t xml:space="preserve">-1</m:t>
            </m:r>
          </m:sup>
        </m:sSup>
        <m:r>
          <m:t xml:space="preserve">c</m:t>
        </m:r>
      </m:oMath>
      <w:r>
        <w:rPr>
          <w:rFonts w:ascii="Times New Roman" w:hAnsi="Times New Roman"/>
          <w:bCs/>
          <w:iCs/>
          <w:color w:val="000000"/>
          <w:sz w:val="20"/>
          <w:szCs w:val="20"/>
        </w:rPr>
        <w:tab/>
        <w:t>(6)</w:t>
      </w:r>
    </w:p>
    <w:p>
      <w:pPr>
        <w:tabs>
          <w:tab w:val="center" w:pos="5100"/>
          <w:tab w:val="right" w:pos="10800"/>
        </w:tabs>
        <w:spacing w:after="0" w:line="240" w:lineRule="auto"/>
        <w:ind w:firstLine="0"/>
        <w:jc w:val="both"/>
      </w:pPr>
      <w:r>
        <w:rPr>
          <w:rFonts w:ascii="Times New Roman" w:hAnsi="Times New Roman"/>
          <w:bCs/>
          <w:iCs/>
          <w:color w:val="000000"/>
          <w:sz w:val="20"/>
          <w:szCs w:val="20"/>
        </w:rPr>
        <w:tab/>
      </w:r>
      <m:oMath>
        <m:acc>
          <m:accPr>
            <m:chr m:val="̂"/>
          </m:accPr>
          <m:e>
            <m:r>
              <m:t xml:space="preserve">g</m:t>
            </m:r>
          </m:e>
        </m:acc>
        <m:r>
          <m:rPr>
            <m:sty m:val="p"/>
          </m:rPr>
          <m:t xml:space="preserve"> = </m:t>
        </m:r>
        <m:sSup>
          <m:e>
            <m:d>
              <m:dPr>
                <m:begChr m:val="("/>
                <m:endChr m:val=")"/>
              </m:dPr>
              <m:e>
                <m:sSub>
                  <m:e>
                    <m:r>
                      <m:t xml:space="preserve">R</m:t>
                    </m:r>
                  </m:e>
                  <m:sub>
                    <m:r>
                      <m:t xml:space="preserve">mm</m:t>
                    </m:r>
                  </m:sub>
                </m:sSub>
                <m:r>
                  <m:rPr>
                    <m:sty m:val="p"/>
                  </m:rPr>
                  <m:t xml:space="preserve"> + </m:t>
                </m:r>
                <m:r>
                  <m:t xml:space="preserve">α</m:t>
                </m:r>
                <m:sSup>
                  <m:e>
                    <m:r>
                      <m:t xml:space="preserve">D</m:t>
                    </m:r>
                  </m:e>
                  <m:sup>
                    <m:r>
                      <m:t xml:space="preserve">T</m:t>
                    </m:r>
                  </m:sup>
                </m:sSup>
                <m:r>
                  <m:t xml:space="preserve">D</m:t>
                </m:r>
              </m:e>
            </m:d>
          </m:e>
          <m:sup>
            <m:r>
              <m:rPr>
                <m:sty m:val="p"/>
              </m:rPr>
              <m:t xml:space="preserve">-1</m:t>
            </m:r>
          </m:sup>
        </m:sSup>
        <m:r>
          <m:t xml:space="preserve">c</m:t>
        </m:r>
      </m:oMath>
      <w:r>
        <w:rPr>
          <w:rFonts w:ascii="Times New Roman" w:hAnsi="Times New Roman"/>
          <w:bCs/>
          <w:iCs/>
          <w:color w:val="000000"/>
          <w:sz w:val="20"/>
          <w:szCs w:val="20"/>
        </w:rPr>
        <w:tab/>
        <w:t>(7)</w:t>
      </w:r>
    </w:p>
    <w:p>
      <w:pPr>
        <w:spacing w:after="0" w:line="240" w:lineRule="auto"/>
        <w:ind w:firstLine="567"/>
        <w:jc w:val="both"/>
      </w:pPr>
      <w:r>
        <w:rPr>
          <w:rFonts w:ascii="Times New Roman" w:eastAsia="Times New Roman" w:hAnsi="Times New Roman" w:cs="Times New Roman"/>
          <w:color w:val="222222"/>
          <w:sz w:val="20"/>
          <w:szCs w:val="20"/>
          <w:lang w:val="en-US" w:eastAsia="pt-BR"/>
        </w:rPr>
        <w:t xml:space="preserve">In (6) and (7), </w:t>
      </w:r>
      <w:r>
        <w:rPr>
          <w:rFonts w:ascii="Times New Roman" w:eastAsia="Times New Roman" w:hAnsi="Times New Roman" w:cs="Times New Roman"/>
          <w:color w:val="222222"/>
          <w:sz w:val="20"/>
          <w:szCs w:val="20"/>
          <w:lang w:val="en-US" w:eastAsia="pt-BR"/>
          <w:i/>
          <w:iCs/>
        </w:rPr>
        <w:t>D</w:t>
      </w:r>
      <w:r>
        <w:rPr>
          <w:rFonts w:ascii="Times New Roman" w:eastAsia="Times New Roman" w:hAnsi="Times New Roman" w:cs="Times New Roman"/>
          <w:color w:val="222222"/>
          <w:sz w:val="20"/>
          <w:szCs w:val="20"/>
          <w:lang w:val="en-US" w:eastAsia="pt-BR"/>
        </w:rPr>
        <w:t xml:space="preserve"> is the second-difference operator, so the penalty is on the curvature of the impulse response in the lag index; an impulse response of a physical system is smooth, and without the penalty the long-lag taps are dominated by sampling noise. The penalty weight is selected by forward-chaining validation inside the training window, so no test observation influences it.</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II.6 MATCHED FILTERING OF THE AGGREGATION STEP</w:t>
      </w:r>
    </w:p>
    <w:p>
      <w:pPr>
        <w:spacing w:after="0" w:line="240" w:lineRule="auto"/>
        <w:ind w:firstLine="567"/>
        <w:jc w:val="both"/>
      </w:pPr>
      <w:r>
        <w:rPr>
          <w:rFonts w:ascii="Times New Roman" w:eastAsia="Times New Roman" w:hAnsi="Times New Roman" w:cs="Times New Roman"/>
          <w:color w:val="222222"/>
          <w:sz w:val="20"/>
          <w:szCs w:val="20"/>
          <w:lang w:val="en-US" w:eastAsia="pt-BR"/>
        </w:rPr>
        <w:t xml:space="preserve">The deployed system does not observe S; it observes the vector x(t) of measured sentiment over the last K sessions and must form one feature. Any aggregation rule is a filter </w:t>
      </w:r>
      <w:r>
        <w:rPr>
          <w:rFonts w:ascii="Times New Roman" w:eastAsia="Times New Roman" w:hAnsi="Times New Roman" w:cs="Times New Roman"/>
          <w:color w:val="222222"/>
          <w:sz w:val="20"/>
          <w:szCs w:val="20"/>
          <w:lang w:val="en-US" w:eastAsia="pt-BR"/>
          <w:i/>
          <w:iCs/>
        </w:rPr>
        <w:t>w</w:t>
      </w:r>
      <w:r>
        <w:rPr>
          <w:rFonts w:ascii="Times New Roman" w:eastAsia="Times New Roman" w:hAnsi="Times New Roman" w:cs="Times New Roman"/>
          <w:color w:val="222222"/>
          <w:sz w:val="20"/>
          <w:szCs w:val="20"/>
          <w:lang w:val="en-US" w:eastAsia="pt-BR"/>
        </w:rPr>
        <w:t xml:space="preserve"> applied to that vector, and the fixed windows of the literature are the particular choices w = 1/W on the first W taps. The minimum mean-square linear predictor of the response from the measured vector is</w:t>
      </w:r>
    </w:p>
    <w:p>
      <w:pPr>
        <w:tabs>
          <w:tab w:val="center" w:pos="5100"/>
          <w:tab w:val="right" w:pos="10800"/>
        </w:tabs>
        <w:spacing w:after="0" w:line="240" w:lineRule="auto"/>
        <w:ind w:firstLine="0"/>
        <w:jc w:val="both"/>
      </w:pPr>
      <w:r>
        <w:rPr>
          <w:rFonts w:ascii="Times New Roman" w:hAnsi="Times New Roman"/>
          <w:bCs/>
          <w:iCs/>
          <w:color w:val="000000"/>
          <w:sz w:val="20"/>
          <w:szCs w:val="20"/>
        </w:rPr>
        <w:tab/>
      </w:r>
      <m:oMath>
        <m:r>
          <m:t xml:space="preserve">w</m:t>
        </m:r>
        <m:r>
          <m:rPr>
            <m:sty m:val="p"/>
          </m:rPr>
          <m:t xml:space="preserve"> = </m:t>
        </m:r>
        <m:sSup>
          <m:e>
            <m:sSub>
              <m:e>
                <m:r>
                  <m:t xml:space="preserve">R</m:t>
                </m:r>
              </m:e>
              <m:sub>
                <m:r>
                  <m:t xml:space="preserve">mm</m:t>
                </m:r>
              </m:sub>
            </m:sSub>
          </m:e>
          <m:sup>
            <m:r>
              <m:rPr>
                <m:sty m:val="p"/>
              </m:rPr>
              <m:t xml:space="preserve">-1</m:t>
            </m:r>
          </m:sup>
        </m:sSup>
        <m:r>
          <m:t xml:space="preserve">c</m:t>
        </m:r>
        <m:r>
          <m:rPr>
            <m:sty m:val="p"/>
          </m:rPr>
          <m:t xml:space="preserve"> = </m:t>
        </m:r>
        <m:sSup>
          <m:e>
            <m:sSub>
              <m:e>
                <m:r>
                  <m:t xml:space="preserve">R</m:t>
                </m:r>
              </m:e>
              <m:sub>
                <m:r>
                  <m:t xml:space="preserve">mm</m:t>
                </m:r>
              </m:sub>
            </m:sSub>
          </m:e>
          <m:sup>
            <m:r>
              <m:rPr>
                <m:sty m:val="p"/>
              </m:rPr>
              <m:t xml:space="preserve">-1</m:t>
            </m:r>
          </m:sup>
        </m:sSup>
        <m:sSub>
          <m:e>
            <m:r>
              <m:t xml:space="preserve">R</m:t>
            </m:r>
          </m:e>
          <m:sub>
            <m:r>
              <m:t xml:space="preserve">SS</m:t>
            </m:r>
          </m:sub>
        </m:sSub>
        <m:acc>
          <m:accPr>
            <m:chr m:val="̃"/>
          </m:accPr>
          <m:e>
            <m:r>
              <m:t xml:space="preserve">g</m:t>
            </m:r>
          </m:e>
        </m:acc>
      </m:oMath>
      <w:r>
        <w:rPr>
          <w:rFonts w:ascii="Times New Roman" w:hAnsi="Times New Roman"/>
          <w:bCs/>
          <w:iCs/>
          <w:color w:val="000000"/>
          <w:sz w:val="20"/>
          <w:szCs w:val="20"/>
        </w:rPr>
        <w:tab/>
        <w:t>(8)</w:t>
      </w:r>
    </w:p>
    <w:p>
      <w:pPr>
        <w:spacing w:after="0" w:line="240" w:lineRule="auto"/>
        <w:ind w:firstLine="567"/>
        <w:jc w:val="both"/>
      </w:pPr>
      <w:r>
        <w:rPr>
          <w:rFonts w:ascii="Times New Roman" w:eastAsia="Times New Roman" w:hAnsi="Times New Roman" w:cs="Times New Roman"/>
          <w:color w:val="222222"/>
          <w:sz w:val="20"/>
          <w:szCs w:val="20"/>
          <w:lang w:val="en-US" w:eastAsia="pt-BR"/>
        </w:rPr>
        <w:t>so the optimal aggregation rule (8) is the matched filter for the identified kernel whitened by the covariance of the observed input [46], [47]. The second equality is the practical one: the corrected kernel describes the response of the market to news and is the object of scientific interest, whereas the filter actually deployed is that kernel pre-multiplied by an operator that depends on how noisy the scorer is.</w:t>
      </w:r>
    </w:p>
    <w:p>
      <w:pPr>
        <w:spacing w:after="0" w:line="240" w:lineRule="auto"/>
        <w:ind w:firstLine="567"/>
        <w:jc w:val="both"/>
      </w:pPr>
      <w:r>
        <w:rPr>
          <w:rFonts w:ascii="Times New Roman" w:eastAsia="Times New Roman" w:hAnsi="Times New Roman" w:cs="Times New Roman"/>
          <w:color w:val="222222"/>
          <w:sz w:val="20"/>
          <w:szCs w:val="20"/>
          <w:lang w:val="en-US" w:eastAsia="pt-BR"/>
          <w:i/>
          <w:iCs/>
        </w:rPr>
        <w:t>Proposition 2 (noise widens the optimal filter).</w:t>
      </w:r>
      <w:r>
        <w:rPr>
          <w:rFonts w:ascii="Times New Roman" w:eastAsia="Times New Roman" w:hAnsi="Times New Roman" w:cs="Times New Roman"/>
          <w:color w:val="222222"/>
          <w:sz w:val="20"/>
          <w:szCs w:val="20"/>
          <w:lang w:val="en-US" w:eastAsia="pt-BR"/>
          <w:i/>
          <w:iCs/>
        </w:rPr>
        <w:t xml:space="preserve"> Let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i/>
          <w:iCs/>
          <w:vertAlign w:val="subscript"/>
        </w:rPr>
        <w:t>mm</w:t>
      </w:r>
      <w:r>
        <w:rPr>
          <w:rFonts w:ascii="Times New Roman" w:eastAsia="Times New Roman" w:hAnsi="Times New Roman" w:cs="Times New Roman"/>
          <w:color w:val="222222"/>
          <w:sz w:val="20"/>
          <w:szCs w:val="20"/>
          <w:lang w:val="en-US" w:eastAsia="pt-BR"/>
          <w:i/>
          <w:iCs/>
        </w:rPr>
        <w:t xml:space="preserve"> =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i/>
          <w:iCs/>
          <w:vertAlign w:val="subscript"/>
        </w:rPr>
        <w:t>SS</w:t>
      </w:r>
      <w:r>
        <w:rPr>
          <w:rFonts w:ascii="Times New Roman" w:eastAsia="Times New Roman" w:hAnsi="Times New Roman" w:cs="Times New Roman"/>
          <w:color w:val="222222"/>
          <w:sz w:val="20"/>
          <w:szCs w:val="20"/>
          <w:lang w:val="en-US" w:eastAsia="pt-BR"/>
          <w:i/>
          <w:iCs/>
        </w:rPr>
        <w:t xml:space="preserve"> + </w:t>
      </w:r>
      <w:r>
        <w:rPr>
          <w:rFonts w:ascii="Times New Roman" w:eastAsia="Times New Roman" w:hAnsi="Times New Roman" w:cs="Times New Roman"/>
          <w:color w:val="222222"/>
          <w:sz w:val="20"/>
          <w:szCs w:val="20"/>
          <w:lang w:val="en-US" w:eastAsia="pt-BR"/>
          <w:i/>
          <w:iCs/>
        </w:rPr>
        <w:t>Σ</w:t>
      </w:r>
      <w:r>
        <w:rPr>
          <w:rFonts w:ascii="Times New Roman" w:eastAsia="Times New Roman" w:hAnsi="Times New Roman" w:cs="Times New Roman"/>
          <w:color w:val="222222"/>
          <w:sz w:val="20"/>
          <w:szCs w:val="20"/>
          <w:lang w:val="en-US" w:eastAsia="pt-BR"/>
          <w:i/>
          <w:iCs/>
          <w:vertAlign w:val="subscript"/>
        </w:rPr>
        <w:t>e</w:t>
      </w:r>
      <w:r>
        <w:rPr>
          <w:rFonts w:ascii="Times New Roman" w:eastAsia="Times New Roman" w:hAnsi="Times New Roman" w:cs="Times New Roman"/>
          <w:color w:val="222222"/>
          <w:sz w:val="20"/>
          <w:szCs w:val="20"/>
          <w:lang w:val="en-US" w:eastAsia="pt-BR"/>
          <w:i/>
          <w:iCs/>
        </w:rPr>
        <w:t xml:space="preserve"> with </w:t>
      </w:r>
      <w:r>
        <w:rPr>
          <w:rFonts w:ascii="Times New Roman" w:eastAsia="Times New Roman" w:hAnsi="Times New Roman" w:cs="Times New Roman"/>
          <w:color w:val="222222"/>
          <w:sz w:val="20"/>
          <w:szCs w:val="20"/>
          <w:lang w:val="en-US" w:eastAsia="pt-BR"/>
          <w:i/>
          <w:iCs/>
        </w:rPr>
        <w:t>Σ</w:t>
      </w:r>
      <w:r>
        <w:rPr>
          <w:rFonts w:ascii="Times New Roman" w:eastAsia="Times New Roman" w:hAnsi="Times New Roman" w:cs="Times New Roman"/>
          <w:color w:val="222222"/>
          <w:sz w:val="20"/>
          <w:szCs w:val="20"/>
          <w:lang w:val="en-US" w:eastAsia="pt-BR"/>
          <w:i/>
          <w:iCs/>
          <w:vertAlign w:val="subscript"/>
        </w:rPr>
        <w:t>e</w:t>
      </w:r>
      <w:r>
        <w:rPr>
          <w:rFonts w:ascii="Times New Roman" w:eastAsia="Times New Roman" w:hAnsi="Times New Roman" w:cs="Times New Roman"/>
          <w:color w:val="222222"/>
          <w:sz w:val="20"/>
          <w:szCs w:val="20"/>
          <w:lang w:val="en-US" w:eastAsia="pt-BR"/>
          <w:i/>
          <w:iCs/>
        </w:rPr>
        <w:t xml:space="preserve"> positive definite. The minimum mean-square filter satisfies </w:t>
      </w:r>
      <w:r>
        <w:rPr>
          <w:rFonts w:ascii="Times New Roman" w:eastAsia="Times New Roman" w:hAnsi="Times New Roman" w:cs="Times New Roman"/>
          <w:color w:val="222222"/>
          <w:sz w:val="20"/>
          <w:szCs w:val="20"/>
          <w:lang w:val="en-US" w:eastAsia="pt-BR"/>
          <w:i/>
          <w:iCs/>
        </w:rPr>
        <w:t>w</w:t>
      </w:r>
      <w:r>
        <w:rPr>
          <w:rFonts w:ascii="Times New Roman" w:eastAsia="Times New Roman" w:hAnsi="Times New Roman" w:cs="Times New Roman"/>
          <w:color w:val="222222"/>
          <w:sz w:val="20"/>
          <w:szCs w:val="20"/>
          <w:lang w:val="en-US" w:eastAsia="pt-BR"/>
          <w:i/>
          <w:iCs/>
        </w:rPr>
        <w:t xml:space="preserve"> =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i/>
          <w:iCs/>
          <w:vertAlign w:val="subscript"/>
        </w:rPr>
        <w:t>SS</w:t>
      </w:r>
      <w:r>
        <w:rPr>
          <w:rFonts w:ascii="Times New Roman" w:eastAsia="Times New Roman" w:hAnsi="Times New Roman" w:cs="Times New Roman"/>
          <w:color w:val="222222"/>
          <w:sz w:val="20"/>
          <w:szCs w:val="20"/>
          <w:lang w:val="en-US" w:eastAsia="pt-BR"/>
          <w:i/>
          <w:iCs/>
        </w:rPr>
        <w:t xml:space="preserve"> + </w:t>
      </w:r>
      <w:r>
        <w:rPr>
          <w:rFonts w:ascii="Times New Roman" w:eastAsia="Times New Roman" w:hAnsi="Times New Roman" w:cs="Times New Roman"/>
          <w:color w:val="222222"/>
          <w:sz w:val="20"/>
          <w:szCs w:val="20"/>
          <w:lang w:val="en-US" w:eastAsia="pt-BR"/>
          <w:i/>
          <w:iCs/>
        </w:rPr>
        <w:t>Σ</w:t>
      </w:r>
      <w:r>
        <w:rPr>
          <w:rFonts w:ascii="Times New Roman" w:eastAsia="Times New Roman" w:hAnsi="Times New Roman" w:cs="Times New Roman"/>
          <w:color w:val="222222"/>
          <w:sz w:val="20"/>
          <w:szCs w:val="20"/>
          <w:lang w:val="en-US" w:eastAsia="pt-BR"/>
          <w:i/>
          <w:iCs/>
          <w:vertAlign w:val="subscript"/>
        </w:rPr>
        <w:t>e</w:t>
      </w:r>
      <w:r>
        <w:rPr>
          <w:rFonts w:ascii="Times New Roman" w:eastAsia="Times New Roman" w:hAnsi="Times New Roman" w:cs="Times New Roman"/>
          <w:color w:val="222222"/>
          <w:sz w:val="20"/>
          <w:szCs w:val="20"/>
          <w:lang w:val="en-US" w:eastAsia="pt-BR"/>
          <w:i/>
          <w:iCs/>
        </w:rPr>
        <w:t>)</w:t>
      </w:r>
      <w:r>
        <w:rPr>
          <w:rFonts w:ascii="Times New Roman" w:eastAsia="Times New Roman" w:hAnsi="Times New Roman" w:cs="Times New Roman"/>
          <w:color w:val="222222"/>
          <w:sz w:val="20"/>
          <w:szCs w:val="20"/>
          <w:lang w:val="en-US" w:eastAsia="pt-BR"/>
          <w:i/>
          <w:iCs/>
          <w:vertAlign w:val="superscript"/>
        </w:rPr>
        <w:t>-1</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i/>
          <w:iCs/>
          <w:vertAlign w:val="subscript"/>
        </w:rPr>
        <w:t>SS</w:t>
      </w:r>
      <w:r>
        <w:rPr>
          <w:rFonts w:ascii="Times New Roman" w:eastAsia="Times New Roman" w:hAnsi="Times New Roman" w:cs="Times New Roman"/>
          <w:color w:val="222222"/>
          <w:sz w:val="20"/>
          <w:szCs w:val="20"/>
          <w:lang w:val="en-US" w:eastAsia="pt-BR"/>
          <w:i/>
          <w:iCs/>
        </w:rPr>
        <w:t>g</w:t>
      </w:r>
      <w:r>
        <w:rPr>
          <w:rFonts w:ascii="Times New Roman" w:eastAsia="Times New Roman" w:hAnsi="Times New Roman" w:cs="Times New Roman"/>
          <w:color w:val="222222"/>
          <w:sz w:val="20"/>
          <w:szCs w:val="20"/>
          <w:lang w:val="en-US" w:eastAsia="pt-BR"/>
          <w:i/>
          <w:iCs/>
        </w:rPr>
        <w:t xml:space="preserve">. As the error variance vanishes, </w:t>
      </w:r>
      <w:r>
        <w:rPr>
          <w:rFonts w:ascii="Times New Roman" w:eastAsia="Times New Roman" w:hAnsi="Times New Roman" w:cs="Times New Roman"/>
          <w:color w:val="222222"/>
          <w:sz w:val="20"/>
          <w:szCs w:val="20"/>
          <w:lang w:val="en-US" w:eastAsia="pt-BR"/>
          <w:i/>
          <w:iCs/>
        </w:rPr>
        <w:t>w</w:t>
      </w:r>
      <w:r>
        <w:rPr>
          <w:rFonts w:ascii="Times New Roman" w:eastAsia="Times New Roman" w:hAnsi="Times New Roman" w:cs="Times New Roman"/>
          <w:color w:val="222222"/>
          <w:sz w:val="20"/>
          <w:szCs w:val="20"/>
          <w:lang w:val="en-US" w:eastAsia="pt-BR"/>
          <w:i/>
          <w:iCs/>
        </w:rPr>
        <w:t xml:space="preserve"> tends to </w:t>
      </w:r>
      <w:r>
        <w:rPr>
          <w:rFonts w:ascii="Times New Roman" w:eastAsia="Times New Roman" w:hAnsi="Times New Roman" w:cs="Times New Roman"/>
          <w:color w:val="222222"/>
          <w:sz w:val="20"/>
          <w:szCs w:val="20"/>
          <w:lang w:val="en-US" w:eastAsia="pt-BR"/>
          <w:i/>
          <w:iCs/>
        </w:rPr>
        <w:t>g</w:t>
      </w:r>
      <w:r>
        <w:rPr>
          <w:rFonts w:ascii="Times New Roman" w:eastAsia="Times New Roman" w:hAnsi="Times New Roman" w:cs="Times New Roman"/>
          <w:color w:val="222222"/>
          <w:sz w:val="20"/>
          <w:szCs w:val="20"/>
          <w:lang w:val="en-US" w:eastAsia="pt-BR"/>
          <w:i/>
          <w:iCs/>
        </w:rPr>
        <w:t xml:space="preserve">; as it grows, </w:t>
      </w:r>
      <w:r>
        <w:rPr>
          <w:rFonts w:ascii="Times New Roman" w:eastAsia="Times New Roman" w:hAnsi="Times New Roman" w:cs="Times New Roman"/>
          <w:color w:val="222222"/>
          <w:sz w:val="20"/>
          <w:szCs w:val="20"/>
          <w:lang w:val="en-US" w:eastAsia="pt-BR"/>
          <w:i/>
          <w:iCs/>
        </w:rPr>
        <w:t>w</w:t>
      </w:r>
      <w:r>
        <w:rPr>
          <w:rFonts w:ascii="Times New Roman" w:eastAsia="Times New Roman" w:hAnsi="Times New Roman" w:cs="Times New Roman"/>
          <w:color w:val="222222"/>
          <w:sz w:val="20"/>
          <w:szCs w:val="20"/>
          <w:lang w:val="en-US" w:eastAsia="pt-BR"/>
          <w:i/>
          <w:iCs/>
        </w:rPr>
        <w:t xml:space="preserve"> tends to a multiple of </w:t>
      </w:r>
      <w:r>
        <w:rPr>
          <w:rFonts w:ascii="Times New Roman" w:eastAsia="Times New Roman" w:hAnsi="Times New Roman" w:cs="Times New Roman"/>
          <w:color w:val="222222"/>
          <w:sz w:val="20"/>
          <w:szCs w:val="20"/>
          <w:lang w:val="en-US" w:eastAsia="pt-BR"/>
          <w:i/>
          <w:iCs/>
        </w:rPr>
        <w:t>Σ</w:t>
      </w:r>
      <w:r>
        <w:rPr>
          <w:rFonts w:ascii="Times New Roman" w:eastAsia="Times New Roman" w:hAnsi="Times New Roman" w:cs="Times New Roman"/>
          <w:color w:val="222222"/>
          <w:sz w:val="20"/>
          <w:szCs w:val="20"/>
          <w:lang w:val="en-US" w:eastAsia="pt-BR"/>
          <w:i/>
          <w:iCs/>
          <w:vertAlign w:val="subscript"/>
        </w:rPr>
        <w:t>e</w:t>
      </w:r>
      <w:r>
        <w:rPr>
          <w:rFonts w:ascii="Times New Roman" w:eastAsia="Times New Roman" w:hAnsi="Times New Roman" w:cs="Times New Roman"/>
          <w:color w:val="222222"/>
          <w:sz w:val="20"/>
          <w:szCs w:val="20"/>
          <w:lang w:val="en-US" w:eastAsia="pt-BR"/>
          <w:i/>
          <w:iCs/>
          <w:vertAlign w:val="superscript"/>
        </w:rPr>
        <w:t>-1</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i/>
          <w:iCs/>
          <w:vertAlign w:val="subscript"/>
        </w:rPr>
        <w:t>SS</w:t>
      </w:r>
      <w:r>
        <w:rPr>
          <w:rFonts w:ascii="Times New Roman" w:eastAsia="Times New Roman" w:hAnsi="Times New Roman" w:cs="Times New Roman"/>
          <w:color w:val="222222"/>
          <w:sz w:val="20"/>
          <w:szCs w:val="20"/>
          <w:lang w:val="en-US" w:eastAsia="pt-BR"/>
          <w:i/>
          <w:iCs/>
        </w:rPr>
        <w:t>g</w:t>
      </w:r>
      <w:r>
        <w:rPr>
          <w:rFonts w:ascii="Times New Roman" w:eastAsia="Times New Roman" w:hAnsi="Times New Roman" w:cs="Times New Roman"/>
          <w:color w:val="222222"/>
          <w:sz w:val="20"/>
          <w:szCs w:val="20"/>
          <w:lang w:val="en-US" w:eastAsia="pt-BR"/>
          <w:i/>
          <w:iCs/>
        </w:rPr>
        <w:t xml:space="preserve">, which for white scorer error is proportional to the sentiment-smoothed kernel and is therefore broader in the lag index than </w:t>
      </w:r>
      <w:r>
        <w:rPr>
          <w:rFonts w:ascii="Times New Roman" w:eastAsia="Times New Roman" w:hAnsi="Times New Roman" w:cs="Times New Roman"/>
          <w:color w:val="222222"/>
          <w:sz w:val="20"/>
          <w:szCs w:val="20"/>
          <w:lang w:val="en-US" w:eastAsia="pt-BR"/>
          <w:i/>
          <w:iCs/>
        </w:rPr>
        <w:t>g</w:t>
      </w:r>
      <w:r>
        <w:rPr>
          <w:rFonts w:ascii="Times New Roman" w:eastAsia="Times New Roman" w:hAnsi="Times New Roman" w:cs="Times New Roman"/>
          <w:color w:val="222222"/>
          <w:sz w:val="20"/>
          <w:szCs w:val="20"/>
          <w:lang w:val="en-US" w:eastAsia="pt-BR"/>
          <w:i/>
          <w:iCs/>
        </w:rPr>
        <w:t xml:space="preserve"> whenever latent sentiment is positively autocorrelated.</w:t>
      </w:r>
    </w:p>
    <w:p>
      <w:pPr>
        <w:spacing w:after="0" w:line="240" w:lineRule="auto"/>
        <w:ind w:firstLine="567"/>
        <w:jc w:val="both"/>
      </w:pPr>
      <w:r>
        <w:rPr>
          <w:rFonts w:ascii="Times New Roman" w:eastAsia="Times New Roman" w:hAnsi="Times New Roman" w:cs="Times New Roman"/>
          <w:color w:val="222222"/>
          <w:sz w:val="20"/>
          <w:szCs w:val="20"/>
          <w:lang w:val="en-US" w:eastAsia="pt-BR"/>
        </w:rPr>
        <w:t xml:space="preserve">Proof. The first expression is the normal equation with </w:t>
      </w:r>
      <w:r>
        <w:rPr>
          <w:rFonts w:ascii="Times New Roman" w:eastAsia="Times New Roman" w:hAnsi="Times New Roman" w:cs="Times New Roman"/>
          <w:color w:val="222222"/>
          <w:sz w:val="20"/>
          <w:szCs w:val="20"/>
          <w:lang w:val="en-US" w:eastAsia="pt-BR"/>
          <w:i/>
          <w:iCs/>
        </w:rPr>
        <w:t>c</w:t>
      </w:r>
      <w:r>
        <w:rPr>
          <w:rFonts w:ascii="Times New Roman" w:eastAsia="Times New Roman" w:hAnsi="Times New Roman" w:cs="Times New Roman"/>
          <w:color w:val="222222"/>
          <w:sz w:val="20"/>
          <w:szCs w:val="20"/>
          <w:lang w:val="en-US" w:eastAsia="pt-BR"/>
        </w:rPr>
        <w:t xml:space="preserve"> =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SS</w:t>
      </w:r>
      <w:r>
        <w:rPr>
          <w:rFonts w:ascii="Times New Roman" w:eastAsia="Times New Roman" w:hAnsi="Times New Roman" w:cs="Times New Roman"/>
          <w:color w:val="222222"/>
          <w:sz w:val="20"/>
          <w:szCs w:val="20"/>
          <w:lang w:val="en-US" w:eastAsia="pt-BR"/>
          <w:i/>
          <w:iCs/>
        </w:rPr>
        <w:t>g</w:t>
      </w:r>
      <w:r>
        <w:rPr>
          <w:rFonts w:ascii="Times New Roman" w:eastAsia="Times New Roman" w:hAnsi="Times New Roman" w:cs="Times New Roman"/>
          <w:color w:val="222222"/>
          <w:sz w:val="20"/>
          <w:szCs w:val="20"/>
          <w:lang w:val="en-US" w:eastAsia="pt-BR"/>
        </w:rPr>
        <w:t xml:space="preserve">. Setting </w:t>
      </w:r>
      <w:r>
        <w:rPr>
          <w:rFonts w:ascii="Times New Roman" w:eastAsia="Times New Roman" w:hAnsi="Times New Roman" w:cs="Times New Roman"/>
          <w:color w:val="222222"/>
          <w:sz w:val="20"/>
          <w:szCs w:val="20"/>
          <w:lang w:val="en-US" w:eastAsia="pt-BR"/>
          <w:i/>
          <w:iCs/>
        </w:rPr>
        <w:t>Σ</w:t>
      </w:r>
      <w:r>
        <w:rPr>
          <w:rFonts w:ascii="Times New Roman" w:eastAsia="Times New Roman" w:hAnsi="Times New Roman" w:cs="Times New Roman"/>
          <w:color w:val="222222"/>
          <w:sz w:val="20"/>
          <w:szCs w:val="20"/>
          <w:lang w:val="en-US" w:eastAsia="pt-BR"/>
          <w:vertAlign w:val="subscript"/>
        </w:rPr>
        <w:t>e</w:t>
      </w:r>
      <w:r>
        <w:rPr>
          <w:rFonts w:ascii="Times New Roman" w:eastAsia="Times New Roman" w:hAnsi="Times New Roman" w:cs="Times New Roman"/>
          <w:color w:val="222222"/>
          <w:sz w:val="20"/>
          <w:szCs w:val="20"/>
          <w:lang w:val="en-US" w:eastAsia="pt-BR"/>
        </w:rPr>
        <w:t xml:space="preserve"> to zero gives </w:t>
      </w:r>
      <w:r>
        <w:rPr>
          <w:rFonts w:ascii="Times New Roman" w:eastAsia="Times New Roman" w:hAnsi="Times New Roman" w:cs="Times New Roman"/>
          <w:color w:val="222222"/>
          <w:sz w:val="20"/>
          <w:szCs w:val="20"/>
          <w:lang w:val="en-US" w:eastAsia="pt-BR"/>
          <w:i/>
          <w:iCs/>
        </w:rPr>
        <w:t>w</w:t>
      </w:r>
      <w:r>
        <w:rPr>
          <w:rFonts w:ascii="Times New Roman" w:eastAsia="Times New Roman" w:hAnsi="Times New Roman" w:cs="Times New Roman"/>
          <w:color w:val="222222"/>
          <w:sz w:val="20"/>
          <w:szCs w:val="20"/>
          <w:lang w:val="en-US" w:eastAsia="pt-BR"/>
        </w:rPr>
        <w:t xml:space="preserve"> = </w:t>
      </w:r>
      <w:r>
        <w:rPr>
          <w:rFonts w:ascii="Times New Roman" w:eastAsia="Times New Roman" w:hAnsi="Times New Roman" w:cs="Times New Roman"/>
          <w:color w:val="222222"/>
          <w:sz w:val="20"/>
          <w:szCs w:val="20"/>
          <w:lang w:val="en-US" w:eastAsia="pt-BR"/>
          <w:i/>
          <w:iCs/>
        </w:rPr>
        <w:t>g</w:t>
      </w:r>
      <w:r>
        <w:rPr>
          <w:rFonts w:ascii="Times New Roman" w:eastAsia="Times New Roman" w:hAnsi="Times New Roman" w:cs="Times New Roman"/>
          <w:color w:val="222222"/>
          <w:sz w:val="20"/>
          <w:szCs w:val="20"/>
          <w:lang w:val="en-US" w:eastAsia="pt-BR"/>
        </w:rPr>
        <w:t xml:space="preserve">. For large error variance the inverse is dominated by </w:t>
      </w:r>
      <w:r>
        <w:rPr>
          <w:rFonts w:ascii="Times New Roman" w:eastAsia="Times New Roman" w:hAnsi="Times New Roman" w:cs="Times New Roman"/>
          <w:color w:val="222222"/>
          <w:sz w:val="20"/>
          <w:szCs w:val="20"/>
          <w:lang w:val="en-US" w:eastAsia="pt-BR"/>
          <w:i/>
          <w:iCs/>
        </w:rPr>
        <w:t>Σ</w:t>
      </w:r>
      <w:r>
        <w:rPr>
          <w:rFonts w:ascii="Times New Roman" w:eastAsia="Times New Roman" w:hAnsi="Times New Roman" w:cs="Times New Roman"/>
          <w:color w:val="222222"/>
          <w:sz w:val="20"/>
          <w:szCs w:val="20"/>
          <w:lang w:val="en-US" w:eastAsia="pt-BR"/>
          <w:vertAlign w:val="subscript"/>
        </w:rPr>
        <w:t>e</w:t>
      </w:r>
      <w:r>
        <w:rPr>
          <w:rFonts w:ascii="Times New Roman" w:eastAsia="Times New Roman" w:hAnsi="Times New Roman" w:cs="Times New Roman"/>
          <w:color w:val="222222"/>
          <w:sz w:val="20"/>
          <w:szCs w:val="20"/>
          <w:lang w:val="en-US" w:eastAsia="pt-BR"/>
          <w:vertAlign w:val="superscript"/>
        </w:rPr>
        <w:t>-1</w:t>
      </w:r>
      <w:r>
        <w:rPr>
          <w:rFonts w:ascii="Times New Roman" w:eastAsia="Times New Roman" w:hAnsi="Times New Roman" w:cs="Times New Roman"/>
          <w:color w:val="222222"/>
          <w:sz w:val="20"/>
          <w:szCs w:val="20"/>
          <w:lang w:val="en-US" w:eastAsia="pt-BR"/>
        </w:rPr>
        <w:t xml:space="preserve">, and with </w:t>
      </w:r>
      <w:r>
        <w:rPr>
          <w:rFonts w:ascii="Times New Roman" w:eastAsia="Times New Roman" w:hAnsi="Times New Roman" w:cs="Times New Roman"/>
          <w:color w:val="222222"/>
          <w:sz w:val="20"/>
          <w:szCs w:val="20"/>
          <w:lang w:val="en-US" w:eastAsia="pt-BR"/>
          <w:i/>
          <w:iCs/>
        </w:rPr>
        <w:t>Σ</w:t>
      </w:r>
      <w:r>
        <w:rPr>
          <w:rFonts w:ascii="Times New Roman" w:eastAsia="Times New Roman" w:hAnsi="Times New Roman" w:cs="Times New Roman"/>
          <w:color w:val="222222"/>
          <w:sz w:val="20"/>
          <w:szCs w:val="20"/>
          <w:lang w:val="en-US" w:eastAsia="pt-BR"/>
          <w:vertAlign w:val="subscript"/>
        </w:rPr>
        <w:t>e</w:t>
      </w:r>
      <w:r>
        <w:rPr>
          <w:rFonts w:ascii="Times New Roman" w:eastAsia="Times New Roman" w:hAnsi="Times New Roman" w:cs="Times New Roman"/>
          <w:color w:val="222222"/>
          <w:sz w:val="20"/>
          <w:szCs w:val="20"/>
          <w:lang w:val="en-US" w:eastAsia="pt-BR"/>
        </w:rPr>
        <w:t xml:space="preserve"> a multiple of the identity the filter becomes proportional to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SS</w:t>
      </w:r>
      <w:r>
        <w:rPr>
          <w:rFonts w:ascii="Times New Roman" w:eastAsia="Times New Roman" w:hAnsi="Times New Roman" w:cs="Times New Roman"/>
          <w:color w:val="222222"/>
          <w:sz w:val="20"/>
          <w:szCs w:val="20"/>
          <w:lang w:val="en-US" w:eastAsia="pt-BR"/>
          <w:i/>
          <w:iCs/>
        </w:rPr>
        <w:t>g</w:t>
      </w:r>
      <w:r>
        <w:rPr>
          <w:rFonts w:ascii="Times New Roman" w:eastAsia="Times New Roman" w:hAnsi="Times New Roman" w:cs="Times New Roman"/>
          <w:color w:val="222222"/>
          <w:sz w:val="20"/>
          <w:szCs w:val="20"/>
          <w:lang w:val="en-US" w:eastAsia="pt-BR"/>
        </w:rPr>
        <w:t xml:space="preserve">, that is, the kernel convolved with the latent autocovariance. Convolution with a positive-definite, positively autocorrelated kernel cannot concentrate mass, so the result is at least as spread out as </w:t>
      </w:r>
      <w:r>
        <w:rPr>
          <w:rFonts w:ascii="Times New Roman" w:eastAsia="Times New Roman" w:hAnsi="Times New Roman" w:cs="Times New Roman"/>
          <w:color w:val="222222"/>
          <w:sz w:val="20"/>
          <w:szCs w:val="20"/>
          <w:lang w:val="en-US" w:eastAsia="pt-BR"/>
          <w:i/>
          <w:iCs/>
        </w:rPr>
        <w:t>g</w:t>
      </w:r>
      <w:r>
        <w:rPr>
          <w:rFonts w:ascii="Times New Roman" w:eastAsia="Times New Roman" w:hAnsi="Times New Roman" w:cs="Times New Roman"/>
          <w:color w:val="222222"/>
          <w:sz w:val="20"/>
          <w:szCs w:val="20"/>
          <w:lang w:val="en-US" w:eastAsia="pt-BR"/>
        </w:rPr>
        <w:t xml:space="preserve">. </w:t>
      </w:r>
    </w:p>
    <w:p>
      <w:pPr>
        <w:spacing w:after="0" w:line="240" w:lineRule="auto"/>
        <w:ind w:firstLine="567"/>
        <w:jc w:val="both"/>
      </w:pPr>
      <w:r>
        <w:rPr>
          <w:rFonts w:ascii="Times New Roman" w:eastAsia="Times New Roman" w:hAnsi="Times New Roman" w:cs="Times New Roman"/>
          <w:color w:val="222222"/>
          <w:sz w:val="20"/>
          <w:szCs w:val="20"/>
          <w:lang w:val="en-US" w:eastAsia="pt-BR"/>
        </w:rPr>
        <w:t xml:space="preserve">The consequence is a design rule that the fixed-window convention obscures. Writing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mm</w:t>
      </w:r>
      <w:r>
        <w:rPr>
          <w:rFonts w:ascii="Times New Roman" w:eastAsia="Times New Roman" w:hAnsi="Times New Roman" w:cs="Times New Roman"/>
          <w:color w:val="222222"/>
          <w:sz w:val="20"/>
          <w:szCs w:val="20"/>
          <w:lang w:val="en-US" w:eastAsia="pt-BR"/>
        </w:rPr>
        <w:t xml:space="preserve"> =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SS</w:t>
      </w:r>
      <w:r>
        <w:rPr>
          <w:rFonts w:ascii="Times New Roman" w:eastAsia="Times New Roman" w:hAnsi="Times New Roman" w:cs="Times New Roman"/>
          <w:color w:val="222222"/>
          <w:sz w:val="20"/>
          <w:szCs w:val="20"/>
          <w:lang w:val="en-US" w:eastAsia="pt-BR"/>
        </w:rPr>
        <w:t xml:space="preserve"> + </w:t>
      </w:r>
      <w:r>
        <w:rPr>
          <w:rFonts w:ascii="Times New Roman" w:eastAsia="Times New Roman" w:hAnsi="Times New Roman" w:cs="Times New Roman"/>
          <w:color w:val="222222"/>
          <w:sz w:val="20"/>
          <w:szCs w:val="20"/>
          <w:lang w:val="en-US" w:eastAsia="pt-BR"/>
          <w:i/>
          <w:iCs/>
        </w:rPr>
        <w:t>Σ</w:t>
      </w:r>
      <w:r>
        <w:rPr>
          <w:rFonts w:ascii="Times New Roman" w:eastAsia="Times New Roman" w:hAnsi="Times New Roman" w:cs="Times New Roman"/>
          <w:color w:val="222222"/>
          <w:sz w:val="20"/>
          <w:szCs w:val="20"/>
          <w:lang w:val="en-US" w:eastAsia="pt-BR"/>
          <w:vertAlign w:val="subscript"/>
        </w:rPr>
        <w:t>e</w:t>
      </w:r>
      <w:r>
        <w:rPr>
          <w:rFonts w:ascii="Times New Roman" w:eastAsia="Times New Roman" w:hAnsi="Times New Roman" w:cs="Times New Roman"/>
          <w:color w:val="222222"/>
          <w:sz w:val="20"/>
          <w:szCs w:val="20"/>
          <w:lang w:val="en-US" w:eastAsia="pt-BR"/>
        </w:rPr>
        <w:t>, the deployed filter approaches the true kernel as the scorer improves, and spreads towards a broad average as the scorer degrades. The width of the optimal window is therefore a property of the instrument, not of the market: a noisier scorer requires a longer window not because news matters for longer but because more sessions must be averaged to recover the same latent quantity. This also predicts that the optimal window narrows for instruments with denser news coverage, because averaging n headlines within a session divides the scorer error variance by n and so raises the reliability directly.</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II.7 CLOSED-LOOP GAIN DESIGN</w:t>
      </w:r>
    </w:p>
    <w:p>
      <w:pPr>
        <w:spacing w:after="0" w:line="240" w:lineRule="auto"/>
        <w:ind w:firstLine="567"/>
        <w:jc w:val="both"/>
      </w:pPr>
      <w:r>
        <w:rPr>
          <w:rFonts w:ascii="Times New Roman" w:eastAsia="Times New Roman" w:hAnsi="Times New Roman" w:cs="Times New Roman"/>
          <w:color w:val="222222"/>
          <w:sz w:val="20"/>
          <w:szCs w:val="20"/>
          <w:lang w:val="en-US" w:eastAsia="pt-BR"/>
        </w:rPr>
        <w:t>Both the response and the composition of the news stream drift, so a filter identified once is not adequate indefinitely. The natural deployment is a feedback loop in which the realised response corrects the taps, that is, a least-mean-square transversal filter [48], [49]:</w:t>
      </w:r>
    </w:p>
    <w:p>
      <w:pPr>
        <w:tabs>
          <w:tab w:val="center" w:pos="5100"/>
          <w:tab w:val="right" w:pos="10800"/>
        </w:tabs>
        <w:spacing w:after="0" w:line="240" w:lineRule="auto"/>
        <w:ind w:firstLine="0"/>
        <w:jc w:val="both"/>
      </w:pPr>
      <w:r>
        <w:rPr>
          <w:rFonts w:ascii="Times New Roman" w:hAnsi="Times New Roman"/>
          <w:bCs/>
          <w:iCs/>
          <w:color w:val="000000"/>
          <w:sz w:val="20"/>
          <w:szCs w:val="20"/>
        </w:rPr>
        <w:tab/>
      </w:r>
      <m:oMath>
        <m:r>
          <m:t xml:space="preserve">e</m:t>
        </m:r>
        <m:d>
          <m:dPr>
            <m:begChr m:val="("/>
            <m:endChr m:val=")"/>
          </m:dPr>
          <m:e>
            <m:r>
              <m:t xml:space="preserve">t</m:t>
            </m:r>
          </m:e>
        </m:d>
        <m:r>
          <m:rPr>
            <m:sty m:val="p"/>
          </m:rPr>
          <m:t xml:space="preserve"> = </m:t>
        </m:r>
        <m:r>
          <m:t xml:space="preserve">y</m:t>
        </m:r>
        <m:d>
          <m:dPr>
            <m:begChr m:val="("/>
            <m:endChr m:val=")"/>
          </m:dPr>
          <m:e>
            <m:r>
              <m:t xml:space="preserve">t</m:t>
            </m:r>
          </m:e>
        </m:d>
        <m:r>
          <m:rPr>
            <m:sty m:val="p"/>
          </m:rPr>
          <m:t xml:space="preserve"> - </m:t>
        </m:r>
        <m:sSup>
          <m:e>
            <m:r>
              <m:t xml:space="preserve">w</m:t>
            </m:r>
          </m:e>
          <m:sup>
            <m:r>
              <m:t xml:space="preserve">T</m:t>
            </m:r>
          </m:sup>
        </m:sSup>
        <m:d>
          <m:dPr>
            <m:begChr m:val="("/>
            <m:endChr m:val=")"/>
          </m:dPr>
          <m:e>
            <m:r>
              <m:t xml:space="preserve">t</m:t>
            </m:r>
          </m:e>
        </m:d>
        <m:r>
          <m:t xml:space="preserve">x</m:t>
        </m:r>
        <m:d>
          <m:dPr>
            <m:begChr m:val="("/>
            <m:endChr m:val=")"/>
          </m:dPr>
          <m:e>
            <m:r>
              <m:t xml:space="preserve">t</m:t>
            </m:r>
          </m:e>
        </m:d>
      </m:oMath>
      <w:r>
        <w:rPr>
          <w:rFonts w:ascii="Times New Roman" w:hAnsi="Times New Roman"/>
          <w:bCs/>
          <w:iCs/>
          <w:color w:val="000000"/>
          <w:sz w:val="20"/>
          <w:szCs w:val="20"/>
        </w:rPr>
        <w:tab/>
        <w:t>(9)</w:t>
      </w:r>
    </w:p>
    <w:p>
      <w:pPr>
        <w:tabs>
          <w:tab w:val="center" w:pos="5100"/>
          <w:tab w:val="right" w:pos="10800"/>
        </w:tabs>
        <w:spacing w:after="0" w:line="240" w:lineRule="auto"/>
        <w:ind w:firstLine="0"/>
        <w:jc w:val="both"/>
      </w:pPr>
      <w:r>
        <w:rPr>
          <w:rFonts w:ascii="Times New Roman" w:hAnsi="Times New Roman"/>
          <w:bCs/>
          <w:iCs/>
          <w:color w:val="000000"/>
          <w:sz w:val="20"/>
          <w:szCs w:val="20"/>
        </w:rPr>
        <w:tab/>
      </w:r>
      <m:oMath>
        <m:r>
          <m:t xml:space="preserve">w</m:t>
        </m:r>
        <m:d>
          <m:dPr>
            <m:begChr m:val="("/>
            <m:endChr m:val=")"/>
          </m:dPr>
          <m:e>
            <m:r>
              <m:t xml:space="preserve">t</m:t>
            </m:r>
            <m:r>
              <m:rPr>
                <m:sty m:val="p"/>
              </m:rPr>
              <m:t xml:space="preserve">+1</m:t>
            </m:r>
          </m:e>
        </m:d>
        <m:r>
          <m:rPr>
            <m:sty m:val="p"/>
          </m:rPr>
          <m:t xml:space="preserve"> = </m:t>
        </m:r>
        <m:r>
          <m:t xml:space="preserve">w</m:t>
        </m:r>
        <m:d>
          <m:dPr>
            <m:begChr m:val="("/>
            <m:endChr m:val=")"/>
          </m:dPr>
          <m:e>
            <m:r>
              <m:t xml:space="preserve">t</m:t>
            </m:r>
          </m:e>
        </m:d>
        <m:r>
          <m:rPr>
            <m:sty m:val="p"/>
          </m:rPr>
          <m:t xml:space="preserve"> + </m:t>
        </m:r>
        <m:r>
          <m:t xml:space="preserve">μ</m:t>
        </m:r>
        <m:r>
          <m:t xml:space="preserve">e</m:t>
        </m:r>
        <m:d>
          <m:dPr>
            <m:begChr m:val="("/>
            <m:endChr m:val=")"/>
          </m:dPr>
          <m:e>
            <m:r>
              <m:t xml:space="preserve">t</m:t>
            </m:r>
          </m:e>
        </m:d>
        <m:r>
          <m:t xml:space="preserve">x</m:t>
        </m:r>
        <m:d>
          <m:dPr>
            <m:begChr m:val="("/>
            <m:endChr m:val=")"/>
          </m:dPr>
          <m:e>
            <m:r>
              <m:t xml:space="preserve">t</m:t>
            </m:r>
          </m:e>
        </m:d>
      </m:oMath>
      <w:r>
        <w:rPr>
          <w:rFonts w:ascii="Times New Roman" w:hAnsi="Times New Roman"/>
          <w:bCs/>
          <w:iCs/>
          <w:color w:val="000000"/>
          <w:sz w:val="20"/>
          <w:szCs w:val="20"/>
        </w:rPr>
        <w:tab/>
        <w:t>(10)</w:t>
      </w:r>
    </w:p>
    <w:p>
      <w:pPr>
        <w:spacing w:after="0" w:line="240" w:lineRule="auto"/>
        <w:ind w:firstLine="567"/>
        <w:jc w:val="both"/>
      </w:pPr>
      <w:r>
        <w:rPr>
          <w:rFonts w:ascii="Times New Roman" w:eastAsia="Times New Roman" w:hAnsi="Times New Roman" w:cs="Times New Roman"/>
          <w:color w:val="222222"/>
          <w:sz w:val="20"/>
          <w:szCs w:val="20"/>
          <w:lang w:val="en-US" w:eastAsia="pt-BR"/>
        </w:rPr>
        <w:t>Causality in (9) and (10) has to be imposed carefully. The response attached to session t is realised only at the close of session t+1, so the taps used to predict a session may absorb observations up to the previous session only. Updating inside the current session would feed a not-yet-observable return into the predictions made for the other instruments of that same session, which inflates measured accuracy without being implementable.</w:t>
      </w:r>
    </w:p>
    <w:p>
      <w:pPr>
        <w:spacing w:after="0" w:line="240" w:lineRule="auto"/>
        <w:ind w:firstLine="567"/>
        <w:jc w:val="both"/>
      </w:pPr>
      <w:r>
        <w:rPr>
          <w:rFonts w:ascii="Times New Roman" w:eastAsia="Times New Roman" w:hAnsi="Times New Roman" w:cs="Times New Roman"/>
          <w:color w:val="222222"/>
          <w:sz w:val="20"/>
          <w:szCs w:val="20"/>
          <w:lang w:val="en-US" w:eastAsia="pt-BR"/>
        </w:rPr>
        <w:t>The measurement noise enters the loop design directly. Mean-square stability of the transversal filter requires the gain to lie below twice the reciprocal of the input power, and the input power is inflated by the scorer error, so</w:t>
      </w:r>
    </w:p>
    <w:p>
      <w:pPr>
        <w:tabs>
          <w:tab w:val="center" w:pos="5100"/>
          <w:tab w:val="right" w:pos="10800"/>
        </w:tabs>
        <w:spacing w:after="0" w:line="240" w:lineRule="auto"/>
        <w:ind w:firstLine="0"/>
        <w:jc w:val="both"/>
      </w:pPr>
      <w:r>
        <w:rPr>
          <w:rFonts w:ascii="Times New Roman" w:hAnsi="Times New Roman"/>
          <w:bCs/>
          <w:iCs/>
          <w:color w:val="000000"/>
          <w:sz w:val="20"/>
          <w:szCs w:val="20"/>
        </w:rPr>
        <w:tab/>
      </w:r>
      <m:oMath>
        <m:r>
          <m:rPr>
            <m:sty m:val="p"/>
          </m:rPr>
          <m:t xml:space="preserve">0 &lt; </m:t>
        </m:r>
        <m:r>
          <m:t xml:space="preserve">μ</m:t>
        </m:r>
        <m:r>
          <m:rPr>
            <m:sty m:val="p"/>
          </m:rPr>
          <m:t xml:space="preserve"> &lt; </m:t>
        </m:r>
        <m:f>
          <m:fPr>
            <m:type m:val="bar"/>
          </m:fPr>
          <m:num>
            <m:r>
              <m:rPr>
                <m:sty m:val="p"/>
              </m:rPr>
              <m:t xml:space="preserve">2</m:t>
            </m:r>
          </m:num>
          <m:den>
            <m:r>
              <m:rPr>
                <m:sty m:val="p"/>
              </m:rPr>
              <m:t xml:space="preserve">tr </m:t>
            </m:r>
            <m:sSub>
              <m:e>
                <m:r>
                  <m:t xml:space="preserve">R</m:t>
                </m:r>
              </m:e>
              <m:sub>
                <m:r>
                  <m:t xml:space="preserve">mm</m:t>
                </m:r>
              </m:sub>
            </m:sSub>
          </m:den>
        </m:f>
        <m:r>
          <m:rPr>
            <m:sty m:val="p"/>
          </m:rPr>
          <m:t xml:space="preserve"> = </m:t>
        </m:r>
        <m:f>
          <m:fPr>
            <m:type m:val="bar"/>
          </m:fPr>
          <m:num>
            <m:r>
              <m:rPr>
                <m:sty m:val="p"/>
              </m:rPr>
              <m:t xml:space="preserve">2</m:t>
            </m:r>
            <m:r>
              <m:t xml:space="preserve">λ</m:t>
            </m:r>
          </m:num>
          <m:den>
            <m:r>
              <m:rPr>
                <m:sty m:val="p"/>
              </m:rPr>
              <m:t xml:space="preserve">tr </m:t>
            </m:r>
            <m:sSub>
              <m:e>
                <m:r>
                  <m:t xml:space="preserve">R</m:t>
                </m:r>
              </m:e>
              <m:sub>
                <m:r>
                  <m:t xml:space="preserve">SS</m:t>
                </m:r>
              </m:sub>
            </m:sSub>
          </m:den>
        </m:f>
      </m:oMath>
      <w:r>
        <w:rPr>
          <w:rFonts w:ascii="Times New Roman" w:hAnsi="Times New Roman"/>
          <w:bCs/>
          <w:iCs/>
          <w:color w:val="000000"/>
          <w:sz w:val="20"/>
          <w:szCs w:val="20"/>
        </w:rPr>
        <w:tab/>
        <w:t>(11)</w:t>
      </w:r>
    </w:p>
    <w:p>
      <w:pPr>
        <w:spacing w:after="0" w:line="240" w:lineRule="auto"/>
        <w:ind w:firstLine="567"/>
        <w:jc w:val="both"/>
      </w:pPr>
      <w:r>
        <w:rPr>
          <w:rFonts w:ascii="Times New Roman" w:eastAsia="Times New Roman" w:hAnsi="Times New Roman" w:cs="Times New Roman"/>
          <w:color w:val="222222"/>
          <w:sz w:val="20"/>
          <w:szCs w:val="20"/>
          <w:lang w:val="en-US" w:eastAsia="pt-BR"/>
        </w:rPr>
        <w:t>A loop tuned as though the input of (11) were the clean sentiment signal therefore overshoots the true stability limit by a factor equal to the reciprocal of the reliability, which for the scorers measured here is about 3.8. The steady-state excess error is the sum of a misadjustment term that grows with the gain and a lag term that falls with it. Treating the optimal taps as a random walk with per-step covariance Q and the response variance as sigma squared, the excess error is minimised at</w:t>
      </w:r>
    </w:p>
    <w:p>
      <w:pPr>
        <w:tabs>
          <w:tab w:val="center" w:pos="5100"/>
          <w:tab w:val="right" w:pos="10800"/>
        </w:tabs>
        <w:spacing w:after="0" w:line="240" w:lineRule="auto"/>
        <w:ind w:firstLine="0"/>
        <w:jc w:val="both"/>
      </w:pPr>
      <w:r>
        <w:rPr>
          <w:rFonts w:ascii="Times New Roman" w:hAnsi="Times New Roman"/>
          <w:bCs/>
          <w:iCs/>
          <w:color w:val="000000"/>
          <w:sz w:val="20"/>
          <w:szCs w:val="20"/>
        </w:rPr>
        <w:tab/>
      </w:r>
      <m:oMath>
        <m:sSup>
          <m:e>
            <m:r>
              <m:t xml:space="preserve">μ</m:t>
            </m:r>
          </m:e>
          <m:sup>
            <m:r>
              <m:rPr>
                <m:sty m:val="p"/>
              </m:rPr>
              <m:t xml:space="preserve">*</m:t>
            </m:r>
          </m:sup>
        </m:sSup>
        <m:r>
          <m:rPr>
            <m:sty m:val="p"/>
          </m:rPr>
          <m:t xml:space="preserve"> = </m:t>
        </m:r>
        <m:rad>
          <m:radPr>
            <m:degHide m:val="1"/>
          </m:radPr>
          <m:deg/>
          <m:e>
            <m:f>
              <m:fPr>
                <m:type m:val="bar"/>
              </m:fPr>
              <m:num>
                <m:r>
                  <m:rPr>
                    <m:sty m:val="p"/>
                  </m:rPr>
                  <m:t xml:space="preserve">tr </m:t>
                </m:r>
                <m:r>
                  <m:t xml:space="preserve">Q</m:t>
                </m:r>
              </m:num>
              <m:den>
                <m:sSup>
                  <m:e>
                    <m:r>
                      <m:t xml:space="preserve">σ</m:t>
                    </m:r>
                  </m:e>
                  <m:sup>
                    <m:r>
                      <m:t xml:space="preserve">2</m:t>
                    </m:r>
                  </m:sup>
                </m:sSup>
                <m:r>
                  <m:rPr>
                    <m:sty m:val="p"/>
                  </m:rPr>
                  <m:t xml:space="preserve"> tr </m:t>
                </m:r>
                <m:sSub>
                  <m:e>
                    <m:r>
                      <m:t xml:space="preserve">R</m:t>
                    </m:r>
                  </m:e>
                  <m:sub>
                    <m:r>
                      <m:t xml:space="preserve">mm</m:t>
                    </m:r>
                  </m:sub>
                </m:sSub>
              </m:den>
            </m:f>
          </m:e>
        </m:rad>
      </m:oMath>
      <w:r>
        <w:rPr>
          <w:rFonts w:ascii="Times New Roman" w:hAnsi="Times New Roman"/>
          <w:bCs/>
          <w:iCs/>
          <w:color w:val="000000"/>
          <w:sz w:val="20"/>
          <w:szCs w:val="20"/>
        </w:rPr>
        <w:tab/>
        <w:t>(12)</w:t>
      </w:r>
    </w:p>
    <w:p>
      <w:pPr>
        <w:spacing w:after="0" w:line="240" w:lineRule="auto"/>
        <w:ind w:firstLine="567"/>
        <w:jc w:val="both"/>
      </w:pPr>
      <w:r>
        <w:rPr>
          <w:rFonts w:ascii="Times New Roman" w:eastAsia="Times New Roman" w:hAnsi="Times New Roman" w:cs="Times New Roman"/>
          <w:color w:val="222222"/>
          <w:sz w:val="20"/>
          <w:szCs w:val="20"/>
          <w:lang w:val="en-US" w:eastAsia="pt-BR"/>
          <w:i/>
          <w:iCs/>
        </w:rPr>
        <w:t>Proposition 3 (noise-aware loop design).</w:t>
      </w:r>
      <w:r>
        <w:rPr>
          <w:rFonts w:ascii="Times New Roman" w:eastAsia="Times New Roman" w:hAnsi="Times New Roman" w:cs="Times New Roman"/>
          <w:color w:val="222222"/>
          <w:sz w:val="20"/>
          <w:szCs w:val="20"/>
          <w:lang w:val="en-US" w:eastAsia="pt-BR"/>
          <w:i/>
          <w:iCs/>
        </w:rPr>
        <w:t xml:space="preserve"> With the input carrying measurement noise, mean-square stability requires the gain to lie below 2</w:t>
      </w:r>
      <w:r>
        <w:rPr>
          <w:rFonts w:ascii="Times New Roman" w:eastAsia="Times New Roman" w:hAnsi="Times New Roman" w:cs="Times New Roman"/>
          <w:color w:val="222222"/>
          <w:sz w:val="20"/>
          <w:szCs w:val="20"/>
          <w:lang w:val="en-US" w:eastAsia="pt-BR"/>
          <w:i/>
          <w:iCs/>
        </w:rPr>
        <w:t>λ</w:t>
      </w:r>
      <w:r>
        <w:rPr>
          <w:rFonts w:ascii="Times New Roman" w:eastAsia="Times New Roman" w:hAnsi="Times New Roman" w:cs="Times New Roman"/>
          <w:color w:val="222222"/>
          <w:sz w:val="20"/>
          <w:szCs w:val="20"/>
          <w:lang w:val="en-US" w:eastAsia="pt-BR"/>
          <w:i/>
          <w:iCs/>
        </w:rPr>
        <w:t xml:space="preserve">/tr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i/>
          <w:iCs/>
          <w:vertAlign w:val="subscript"/>
        </w:rPr>
        <w:t>SS</w:t>
      </w:r>
      <w:r>
        <w:rPr>
          <w:rFonts w:ascii="Times New Roman" w:eastAsia="Times New Roman" w:hAnsi="Times New Roman" w:cs="Times New Roman"/>
          <w:color w:val="222222"/>
          <w:sz w:val="20"/>
          <w:szCs w:val="20"/>
          <w:lang w:val="en-US" w:eastAsia="pt-BR"/>
          <w:i/>
          <w:iCs/>
        </w:rPr>
        <w:t>, and under a random-walk drift of the optimal taps the gain minimising steady-state excess error is proportional to the square root of the reliability.</w:t>
      </w:r>
    </w:p>
    <w:p>
      <w:pPr>
        <w:spacing w:after="0" w:line="240" w:lineRule="auto"/>
        <w:ind w:firstLine="567"/>
        <w:jc w:val="both"/>
      </w:pPr>
      <w:r>
        <w:rPr>
          <w:rFonts w:ascii="Times New Roman" w:eastAsia="Times New Roman" w:hAnsi="Times New Roman" w:cs="Times New Roman"/>
          <w:color w:val="222222"/>
          <w:sz w:val="20"/>
          <w:szCs w:val="20"/>
          <w:lang w:val="en-US" w:eastAsia="pt-BR"/>
        </w:rPr>
        <w:t xml:space="preserve">Proof sketch. Mean-square stability of the transversal filter requires the gain to be below twice the reciprocal of the input power [48], [49]; substituting tr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mm</w:t>
      </w:r>
      <w:r>
        <w:rPr>
          <w:rFonts w:ascii="Times New Roman" w:eastAsia="Times New Roman" w:hAnsi="Times New Roman" w:cs="Times New Roman"/>
          <w:color w:val="222222"/>
          <w:sz w:val="20"/>
          <w:szCs w:val="20"/>
          <w:lang w:val="en-US" w:eastAsia="pt-BR"/>
        </w:rPr>
        <w:t xml:space="preserve"> = tr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SS</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λ</w:t>
      </w:r>
      <w:r>
        <w:rPr>
          <w:rFonts w:ascii="Times New Roman" w:eastAsia="Times New Roman" w:hAnsi="Times New Roman" w:cs="Times New Roman"/>
          <w:color w:val="222222"/>
          <w:sz w:val="20"/>
          <w:szCs w:val="20"/>
          <w:lang w:val="en-US" w:eastAsia="pt-BR"/>
        </w:rPr>
        <w:t xml:space="preserve"> gives the bound in (11). The steady-state excess error is the sum of a misadjustment term proportional to </w:t>
      </w:r>
      <w:r>
        <w:rPr>
          <w:rFonts w:ascii="Times New Roman" w:eastAsia="Times New Roman" w:hAnsi="Times New Roman" w:cs="Times New Roman"/>
          <w:color w:val="222222"/>
          <w:sz w:val="20"/>
          <w:szCs w:val="20"/>
          <w:lang w:val="en-US" w:eastAsia="pt-BR"/>
          <w:i/>
          <w:iCs/>
        </w:rPr>
        <w:t>μ</w:t>
      </w:r>
      <w:r>
        <w:rPr>
          <w:rFonts w:ascii="Times New Roman" w:eastAsia="Times New Roman" w:hAnsi="Times New Roman" w:cs="Times New Roman"/>
          <w:color w:val="222222"/>
          <w:sz w:val="20"/>
          <w:szCs w:val="20"/>
          <w:lang w:val="en-US" w:eastAsia="pt-BR"/>
        </w:rPr>
        <w:t xml:space="preserve"> tr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mm</w:t>
      </w:r>
      <w:r>
        <w:rPr>
          <w:rFonts w:ascii="Times New Roman" w:eastAsia="Times New Roman" w:hAnsi="Times New Roman" w:cs="Times New Roman"/>
          <w:color w:val="222222"/>
          <w:sz w:val="20"/>
          <w:szCs w:val="20"/>
          <w:lang w:val="en-US" w:eastAsia="pt-BR"/>
        </w:rPr>
        <w:t xml:space="preserve"> and a lag term proportional to tr </w:t>
      </w:r>
      <w:r>
        <w:rPr>
          <w:rFonts w:ascii="Times New Roman" w:eastAsia="Times New Roman" w:hAnsi="Times New Roman" w:cs="Times New Roman"/>
          <w:color w:val="222222"/>
          <w:sz w:val="20"/>
          <w:szCs w:val="20"/>
          <w:lang w:val="en-US" w:eastAsia="pt-BR"/>
          <w:i/>
          <w:iCs/>
        </w:rPr>
        <w:t>Q</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μ</w:t>
      </w:r>
      <w:r>
        <w:rPr>
          <w:rFonts w:ascii="Times New Roman" w:eastAsia="Times New Roman" w:hAnsi="Times New Roman" w:cs="Times New Roman"/>
          <w:color w:val="222222"/>
          <w:sz w:val="20"/>
          <w:szCs w:val="20"/>
          <w:lang w:val="en-US" w:eastAsia="pt-BR"/>
        </w:rPr>
        <w:t xml:space="preserve"> [60]; differentiating the sum and setting it to zero gives (12), and the same identity for tr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mm</w:t>
      </w:r>
      <w:r>
        <w:rPr>
          <w:rFonts w:ascii="Times New Roman" w:eastAsia="Times New Roman" w:hAnsi="Times New Roman" w:cs="Times New Roman"/>
          <w:color w:val="222222"/>
          <w:sz w:val="20"/>
          <w:szCs w:val="20"/>
          <w:lang w:val="en-US" w:eastAsia="pt-BR"/>
        </w:rPr>
        <w:t xml:space="preserve"> makes the dependence on the square root of the reliability explicit. </w:t>
      </w:r>
    </w:p>
    <w:p>
      <w:pPr>
        <w:spacing w:after="0" w:line="240" w:lineRule="auto"/>
        <w:ind w:firstLine="567"/>
        <w:jc w:val="both"/>
      </w:pPr>
      <w:r>
        <w:rPr>
          <w:rFonts w:ascii="Times New Roman" w:eastAsia="Times New Roman" w:hAnsi="Times New Roman" w:cs="Times New Roman"/>
          <w:color w:val="222222"/>
          <w:sz w:val="20"/>
          <w:szCs w:val="20"/>
          <w:lang w:val="en-US" w:eastAsia="pt-BR"/>
        </w:rPr>
        <w:t xml:space="preserve">Because tr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mm</w:t>
      </w:r>
      <w:r>
        <w:rPr>
          <w:rFonts w:ascii="Times New Roman" w:eastAsia="Times New Roman" w:hAnsi="Times New Roman" w:cs="Times New Roman"/>
          <w:color w:val="222222"/>
          <w:sz w:val="20"/>
          <w:szCs w:val="20"/>
          <w:lang w:val="en-US" w:eastAsia="pt-BR"/>
        </w:rPr>
        <w:t xml:space="preserve"> is the latent power divided by the reliability, the optimal gain scales as the square root of the reliability: a noisier scorer demands a slower loop. All three quantities on the right are measurable on training data alone, so the gain is a prediction rather than a tuned parameter, and the sections that follow test it as such.</w:t>
      </w:r>
    </w:p>
    <w:p>
      <w:pPr>
        <w:spacing w:after="0" w:line="240" w:lineRule="auto"/>
      </w:pPr>
    </w:p>
    <w:p>
      <w:pPr>
        <w:spacing w:line="240" w:lineRule="auto"/>
        <w:jc w:val="center"/>
      </w:pPr>
      <w:r>
        <w:rPr>
          <w:rFonts w:ascii="Times New Roman" w:hAnsi="Times New Roman"/>
          <w:b/>
          <w:bCs/>
          <w:color w:val="1F4E79" w:themeColor="accent1" w:themeShade="80"/>
          <w:sz w:val="20"/>
          <w:szCs w:val="20"/>
          <w:lang w:val="en-US" w:eastAsia="pt-BR"/>
        </w:rPr>
        <w:t>III. MATERIALS AND METHODS</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III.1 CORPUS, UNIVERSE AND PRICE DATA</w:t>
      </w:r>
    </w:p>
    <w:p>
      <w:pPr>
        <w:spacing w:after="0" w:line="240" w:lineRule="auto"/>
        <w:ind w:firstLine="567"/>
        <w:jc w:val="both"/>
      </w:pPr>
      <w:r>
        <w:rPr>
          <w:rFonts w:ascii="Times New Roman" w:eastAsia="Times New Roman" w:hAnsi="Times New Roman" w:cs="Times New Roman"/>
          <w:color w:val="222222"/>
          <w:sz w:val="20"/>
          <w:szCs w:val="20"/>
          <w:lang w:val="en-US" w:eastAsia="pt-BR"/>
        </w:rPr>
        <w:t>The corpus is the news component of a public financial news dataset [61], from which the 226 most densely covered US equities are retained, giving 637,845 real headlines (430,111 distinct strings) published between 2010-01-04 and 2020-06-11. The dataset is public and the selection rule is mechanical: instruments are ranked by headline count and the top block is kept, so the universe is reproducible from the source file without any discretionary choice. No text is generated, augmented or simulated at any point. Prices are split- and dividend-adjusted daily bars; returns are measured against the market with a beta fitted on training data only.</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III.2 TIMING, ALIGNMENT AND STANDARDISATION</w:t>
      </w:r>
    </w:p>
    <w:p>
      <w:pPr>
        <w:spacing w:after="0" w:line="240" w:lineRule="auto"/>
        <w:ind w:firstLine="567"/>
        <w:jc w:val="both"/>
      </w:pPr>
      <w:r>
        <w:rPr>
          <w:rFonts w:ascii="Times New Roman" w:eastAsia="Times New Roman" w:hAnsi="Times New Roman" w:cs="Times New Roman"/>
          <w:color w:val="222222"/>
          <w:sz w:val="20"/>
          <w:szCs w:val="20"/>
          <w:lang w:val="en-US" w:eastAsia="pt-BR"/>
        </w:rPr>
        <w:t>Timing is strictly causal. Each headline carries a UTC publication stamp, which is converted to the exchange time zone and assigned to the first session whose close follows it, so a headline published after the close belongs to the next session. The sentiment of a session therefore contains only information public before that session's close and is used to predict the response realised afterwards. Each measure is standardised per instrument on training statistics alone, and a session carrying no headline is assigned a sentiment innovation of zero, which is the unconditional mean after standardisation; the number of headlines in the session is retained separately, and is what the count-weighted baselines and the reliability strata use.</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III.3 SCORERS AND RESPONSES</w:t>
      </w:r>
    </w:p>
    <w:p>
      <w:pPr>
        <w:spacing w:after="0" w:line="240" w:lineRule="auto"/>
        <w:ind w:firstLine="567"/>
        <w:jc w:val="both"/>
      </w:pPr>
      <w:r>
        <w:rPr>
          <w:rFonts w:ascii="Times New Roman" w:eastAsia="Times New Roman" w:hAnsi="Times New Roman" w:cs="Times New Roman"/>
          <w:color w:val="222222"/>
          <w:sz w:val="20"/>
          <w:szCs w:val="20"/>
          <w:lang w:val="en-US" w:eastAsia="pt-BR"/>
        </w:rPr>
        <w:t>Four scorers are applied to every distinct headline: a transformer encoder fine-tuned for financial sentiment [16], [17], the finance-specific word lists of Loughran and McDonald [15], a rule-based valence model [62], and a general-purpose psychosocial lexicon. The first three are the independent indicators used for identification; the fourth over-identifies the model. Two responses are studied: the market-adjusted return of the next session, and the innovation in log Parkinson range volatility [63], defined as the deviation from its trailing 21-session mean, which is the classical object in the news-and-volatility literature [64].</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III.4 ESTIMATION AND EVALUATION PROTOCOL</w:t>
      </w:r>
    </w:p>
    <w:p>
      <w:pPr>
        <w:spacing w:after="0" w:line="240" w:lineRule="auto"/>
        <w:ind w:firstLine="567"/>
        <w:jc w:val="both"/>
      </w:pPr>
      <w:r>
        <w:rPr>
          <w:rFonts w:ascii="Times New Roman" w:eastAsia="Times New Roman" w:hAnsi="Times New Roman" w:cs="Times New Roman"/>
          <w:color w:val="222222"/>
          <w:sz w:val="20"/>
          <w:szCs w:val="20"/>
          <w:lang w:val="en-US" w:eastAsia="pt-BR"/>
        </w:rPr>
        <w:t>All estimation uses sessions up to 2016-12-31 (383,414 instrument-session observations); everything reported afterwards is measured on the later, untouched window. Baselines are the uniform windows of length 1, 2, 3, 5 and 10 sessions, the same windows weighted by headline count, and exponential decays of several half-lives. Because a practitioner cannot select a window using the test data, the headline baseline is the window with the best training performance; the window that happens to be best on the test data is also reported, as an upper bound no method could have selected in advance. Filters are compared by the information coefficient of their training-scaled forecast, by a Newey-West t statistic [65] and by the Diebold-Mariano test of equal squared error [66]. Table 1 summarises the corpus and the panel that alignment produces.</w:t>
      </w:r>
    </w:p>
    <w:p>
      <w:pPr>
        <w:spacing w:after="0" w:line="240" w:lineRule="auto"/>
      </w:pPr>
    </w:p>
    <w:p>
      <w:pPr>
        <w:shd w:val="clear" w:color="auto" w:fill="FFFFFF"/>
        <w:spacing w:after="0" w:line="240" w:lineRule="auto"/>
        <w:jc w:val="center"/>
      </w:pPr>
      <w:r>
        <w:rPr>
          <w:rFonts w:ascii="Times New Roman" w:eastAsia="Times New Roman" w:hAnsi="Times New Roman" w:cs="Times New Roman"/>
          <w:sz w:val="20"/>
          <w:szCs w:val="20"/>
          <w:lang w:val="en-US" w:eastAsia="pt-BR"/>
        </w:rPr>
        <w:t>Table 1: Corpus and panel after alignment.</w:t>
      </w:r>
    </w:p>
    <w:tbl>
      <w:tblPr>
        <w:tblStyle w:val="Tabelacomgrade"/>
        <w:tblW w:type="auto" w:w="0"/>
        <w:tblLayout w:type="autofit"/>
        <w:tblLook w:firstColumn="1" w:firstRow="1" w:lastColumn="0" w:lastRow="0" w:noHBand="0" w:noVBand="1" w:val="04A0"/>
      </w:tblPr>
      <w:tblGrid>
        <w:gridCol w:w="5457"/>
        <w:gridCol w:w="5457"/>
      </w:tblGrid>
      <w:tr>
        <w:trPr>
          <w:tblHeader/>
        </w:trPr>
        <w:tc>
          <w:tcPr>
            <w:tcW w:type="dxa" w:w="5457"/>
          </w:tcPr>
          <w:p>
            <w:pPr>
              <w:spacing w:after="0" w:line="240" w:lineRule="auto"/>
              <w:jc w:val="left"/>
            </w:pPr>
            <w:r>
              <w:rPr>
                <w:rFonts w:ascii="Times New Roman" w:eastAsia="Times New Roman" w:hAnsi="Times New Roman" w:cs="Times New Roman"/>
                <w:b/>
                <w:sz w:val="18"/>
                <w:szCs w:val="18"/>
                <w:lang w:val="en-US" w:eastAsia="pt-BR"/>
              </w:rPr>
              <w:t>Quantity</w:t>
            </w:r>
          </w:p>
        </w:tc>
        <w:tc>
          <w:tcPr>
            <w:tcW w:type="dxa" w:w="5457"/>
          </w:tcPr>
          <w:p>
            <w:pPr>
              <w:spacing w:after="0" w:line="240" w:lineRule="auto"/>
              <w:jc w:val="center"/>
            </w:pPr>
            <w:r>
              <w:rPr>
                <w:rFonts w:ascii="Times New Roman" w:eastAsia="Times New Roman" w:hAnsi="Times New Roman" w:cs="Times New Roman"/>
                <w:b/>
                <w:sz w:val="18"/>
                <w:szCs w:val="18"/>
                <w:lang w:val="en-US" w:eastAsia="pt-BR"/>
              </w:rPr>
              <w:t>Value</w:t>
            </w:r>
          </w:p>
        </w:tc>
      </w:tr>
      <w:tr>
        <w:tc>
          <w:tcPr>
            <w:tcW w:type="dxa" w:w="5457"/>
          </w:tcPr>
          <w:p>
            <w:pPr>
              <w:spacing w:after="0" w:line="240" w:lineRule="auto"/>
              <w:jc w:val="left"/>
            </w:pPr>
            <w:r>
              <w:rPr>
                <w:rFonts w:ascii="Times New Roman" w:eastAsia="Times New Roman" w:hAnsi="Times New Roman" w:cs="Times New Roman"/>
                <w:sz w:val="18"/>
                <w:szCs w:val="18"/>
                <w:lang w:val="en-US" w:eastAsia="pt-BR"/>
              </w:rPr>
              <w:t>Headlines (distinct strings)</w:t>
            </w:r>
          </w:p>
        </w:tc>
        <w:tc>
          <w:tcPr>
            <w:tcW w:type="dxa" w:w="5457"/>
          </w:tcPr>
          <w:p>
            <w:pPr>
              <w:spacing w:after="0" w:line="240" w:lineRule="auto"/>
              <w:jc w:val="center"/>
            </w:pPr>
            <w:r>
              <w:rPr>
                <w:rFonts w:ascii="Times New Roman" w:eastAsia="Times New Roman" w:hAnsi="Times New Roman" w:cs="Times New Roman"/>
                <w:sz w:val="18"/>
                <w:szCs w:val="18"/>
                <w:lang w:val="en-US" w:eastAsia="pt-BR"/>
              </w:rPr>
              <w:t>637,845 (430,111)</w:t>
            </w:r>
          </w:p>
        </w:tc>
      </w:tr>
      <w:tr>
        <w:tc>
          <w:tcPr>
            <w:tcW w:type="dxa" w:w="5457"/>
          </w:tcPr>
          <w:p>
            <w:pPr>
              <w:spacing w:after="0" w:line="240" w:lineRule="auto"/>
              <w:jc w:val="left"/>
            </w:pPr>
            <w:r>
              <w:rPr>
                <w:rFonts w:ascii="Times New Roman" w:eastAsia="Times New Roman" w:hAnsi="Times New Roman" w:cs="Times New Roman"/>
                <w:sz w:val="18"/>
                <w:szCs w:val="18"/>
                <w:lang w:val="en-US" w:eastAsia="pt-BR"/>
              </w:rPr>
              <w:t>Instruments with news and prices</w:t>
            </w:r>
          </w:p>
        </w:tc>
        <w:tc>
          <w:tcPr>
            <w:tcW w:type="dxa" w:w="5457"/>
          </w:tcPr>
          <w:p>
            <w:pPr>
              <w:spacing w:after="0" w:line="240" w:lineRule="auto"/>
              <w:jc w:val="center"/>
            </w:pPr>
            <w:r>
              <w:rPr>
                <w:rFonts w:ascii="Times New Roman" w:eastAsia="Times New Roman" w:hAnsi="Times New Roman" w:cs="Times New Roman"/>
                <w:sz w:val="18"/>
                <w:szCs w:val="18"/>
                <w:lang w:val="en-US" w:eastAsia="pt-BR"/>
              </w:rPr>
              <w:t>237</w:t>
            </w:r>
          </w:p>
        </w:tc>
      </w:tr>
      <w:tr>
        <w:tc>
          <w:tcPr>
            <w:tcW w:type="dxa" w:w="5457"/>
          </w:tcPr>
          <w:p>
            <w:pPr>
              <w:spacing w:after="0" w:line="240" w:lineRule="auto"/>
              <w:jc w:val="left"/>
            </w:pPr>
            <w:r>
              <w:rPr>
                <w:rFonts w:ascii="Times New Roman" w:eastAsia="Times New Roman" w:hAnsi="Times New Roman" w:cs="Times New Roman"/>
                <w:sz w:val="18"/>
                <w:szCs w:val="18"/>
                <w:lang w:val="en-US" w:eastAsia="pt-BR"/>
              </w:rPr>
              <w:t>Trading sessions</w:t>
            </w:r>
          </w:p>
        </w:tc>
        <w:tc>
          <w:tcPr>
            <w:tcW w:type="dxa" w:w="5457"/>
          </w:tcPr>
          <w:p>
            <w:pPr>
              <w:spacing w:after="0" w:line="240" w:lineRule="auto"/>
              <w:jc w:val="center"/>
            </w:pPr>
            <w:r>
              <w:rPr>
                <w:rFonts w:ascii="Times New Roman" w:eastAsia="Times New Roman" w:hAnsi="Times New Roman" w:cs="Times New Roman"/>
                <w:sz w:val="18"/>
                <w:szCs w:val="18"/>
                <w:lang w:val="en-US" w:eastAsia="pt-BR"/>
              </w:rPr>
              <w:t>3,521</w:t>
            </w:r>
          </w:p>
        </w:tc>
      </w:tr>
      <w:tr>
        <w:tc>
          <w:tcPr>
            <w:tcW w:type="dxa" w:w="5457"/>
          </w:tcPr>
          <w:p>
            <w:pPr>
              <w:spacing w:after="0" w:line="240" w:lineRule="auto"/>
              <w:jc w:val="left"/>
            </w:pPr>
            <w:r>
              <w:rPr>
                <w:rFonts w:ascii="Times New Roman" w:eastAsia="Times New Roman" w:hAnsi="Times New Roman" w:cs="Times New Roman"/>
                <w:sz w:val="18"/>
                <w:szCs w:val="18"/>
                <w:lang w:val="en-US" w:eastAsia="pt-BR"/>
              </w:rPr>
              <w:t>Period</w:t>
            </w:r>
          </w:p>
        </w:tc>
        <w:tc>
          <w:tcPr>
            <w:tcW w:type="dxa" w:w="5457"/>
          </w:tcPr>
          <w:p>
            <w:pPr>
              <w:spacing w:after="0" w:line="240" w:lineRule="auto"/>
              <w:jc w:val="center"/>
            </w:pPr>
            <w:r>
              <w:rPr>
                <w:rFonts w:ascii="Times New Roman" w:eastAsia="Times New Roman" w:hAnsi="Times New Roman" w:cs="Times New Roman"/>
                <w:sz w:val="18"/>
                <w:szCs w:val="18"/>
                <w:lang w:val="en-US" w:eastAsia="pt-BR"/>
              </w:rPr>
              <w:t>2010-01-04 to 2020-06-11</w:t>
            </w:r>
          </w:p>
        </w:tc>
      </w:tr>
      <w:tr>
        <w:tc>
          <w:tcPr>
            <w:tcW w:type="dxa" w:w="5457"/>
          </w:tcPr>
          <w:p>
            <w:pPr>
              <w:spacing w:after="0" w:line="240" w:lineRule="auto"/>
              <w:jc w:val="left"/>
            </w:pPr>
            <w:r>
              <w:rPr>
                <w:rFonts w:ascii="Times New Roman" w:eastAsia="Times New Roman" w:hAnsi="Times New Roman" w:cs="Times New Roman"/>
                <w:sz w:val="18"/>
                <w:szCs w:val="18"/>
                <w:lang w:val="en-US" w:eastAsia="pt-BR"/>
              </w:rPr>
              <w:t>Sessions carrying at least one headline</w:t>
            </w:r>
          </w:p>
        </w:tc>
        <w:tc>
          <w:tcPr>
            <w:tcW w:type="dxa" w:w="5457"/>
          </w:tcPr>
          <w:p>
            <w:pPr>
              <w:spacing w:after="0" w:line="240" w:lineRule="auto"/>
              <w:jc w:val="center"/>
            </w:pPr>
            <w:r>
              <w:rPr>
                <w:rFonts w:ascii="Times New Roman" w:eastAsia="Times New Roman" w:hAnsi="Times New Roman" w:cs="Times New Roman"/>
                <w:sz w:val="18"/>
                <w:szCs w:val="18"/>
                <w:lang w:val="en-US" w:eastAsia="pt-BR"/>
              </w:rPr>
              <w:t>32.5 per cent</w:t>
            </w:r>
          </w:p>
        </w:tc>
      </w:tr>
      <w:tr>
        <w:tc>
          <w:tcPr>
            <w:tcW w:type="dxa" w:w="5457"/>
          </w:tcPr>
          <w:p>
            <w:pPr>
              <w:spacing w:after="0" w:line="240" w:lineRule="auto"/>
              <w:jc w:val="left"/>
            </w:pPr>
            <w:r>
              <w:rPr>
                <w:rFonts w:ascii="Times New Roman" w:eastAsia="Times New Roman" w:hAnsi="Times New Roman" w:cs="Times New Roman"/>
                <w:sz w:val="18"/>
                <w:szCs w:val="18"/>
                <w:lang w:val="en-US" w:eastAsia="pt-BR"/>
              </w:rPr>
              <w:t>Median headlines in a covered session</w:t>
            </w:r>
          </w:p>
        </w:tc>
        <w:tc>
          <w:tcPr>
            <w:tcW w:type="dxa" w:w="5457"/>
          </w:tcPr>
          <w:p>
            <w:pPr>
              <w:spacing w:after="0" w:line="240" w:lineRule="auto"/>
              <w:jc w:val="center"/>
            </w:pPr>
            <w:r>
              <w:rPr>
                <w:rFonts w:ascii="Times New Roman" w:eastAsia="Times New Roman" w:hAnsi="Times New Roman" w:cs="Times New Roman"/>
                <w:sz w:val="18"/>
                <w:szCs w:val="18"/>
                <w:lang w:val="en-US" w:eastAsia="pt-BR"/>
              </w:rPr>
              <w:t>2.0</w:t>
            </w:r>
          </w:p>
        </w:tc>
      </w:tr>
      <w:tr>
        <w:tc>
          <w:tcPr>
            <w:tcW w:type="dxa" w:w="5457"/>
          </w:tcPr>
          <w:p>
            <w:pPr>
              <w:spacing w:after="0" w:line="240" w:lineRule="auto"/>
              <w:jc w:val="left"/>
            </w:pPr>
            <w:r>
              <w:rPr>
                <w:rFonts w:ascii="Times New Roman" w:eastAsia="Times New Roman" w:hAnsi="Times New Roman" w:cs="Times New Roman"/>
                <w:sz w:val="18"/>
                <w:szCs w:val="18"/>
                <w:lang w:val="en-US" w:eastAsia="pt-BR"/>
              </w:rPr>
              <w:t>Training observations</w:t>
            </w:r>
          </w:p>
        </w:tc>
        <w:tc>
          <w:tcPr>
            <w:tcW w:type="dxa" w:w="5457"/>
          </w:tcPr>
          <w:p>
            <w:pPr>
              <w:spacing w:after="0" w:line="240" w:lineRule="auto"/>
              <w:jc w:val="center"/>
            </w:pPr>
            <w:r>
              <w:rPr>
                <w:rFonts w:ascii="Times New Roman" w:eastAsia="Times New Roman" w:hAnsi="Times New Roman" w:cs="Times New Roman"/>
                <w:sz w:val="18"/>
                <w:szCs w:val="18"/>
                <w:lang w:val="en-US" w:eastAsia="pt-BR"/>
              </w:rPr>
              <w:t>383,414</w:t>
            </w:r>
          </w:p>
        </w:tc>
      </w:tr>
      <w:tr>
        <w:tc>
          <w:tcPr>
            <w:tcW w:type="dxa" w:w="5457"/>
          </w:tcPr>
          <w:p>
            <w:pPr>
              <w:spacing w:after="0" w:line="240" w:lineRule="auto"/>
              <w:jc w:val="left"/>
            </w:pPr>
            <w:r>
              <w:rPr>
                <w:rFonts w:ascii="Times New Roman" w:eastAsia="Times New Roman" w:hAnsi="Times New Roman" w:cs="Times New Roman"/>
                <w:sz w:val="18"/>
                <w:szCs w:val="18"/>
                <w:lang w:val="en-US" w:eastAsia="pt-BR"/>
              </w:rPr>
              <w:t>Training window ends</w:t>
            </w:r>
          </w:p>
        </w:tc>
        <w:tc>
          <w:tcPr>
            <w:tcW w:type="dxa" w:w="5457"/>
          </w:tcPr>
          <w:p>
            <w:pPr>
              <w:spacing w:after="0" w:line="240" w:lineRule="auto"/>
              <w:jc w:val="center"/>
            </w:pPr>
            <w:r>
              <w:rPr>
                <w:rFonts w:ascii="Times New Roman" w:eastAsia="Times New Roman" w:hAnsi="Times New Roman" w:cs="Times New Roman"/>
                <w:sz w:val="18"/>
                <w:szCs w:val="18"/>
                <w:lang w:val="en-US" w:eastAsia="pt-BR"/>
              </w:rPr>
              <w:t>2016-12-31</w:t>
            </w:r>
          </w:p>
        </w:tc>
      </w:tr>
    </w:tbl>
    <w:p>
      <w:pPr>
        <w:shd w:val="clear" w:color="auto" w:fill="FFFFFF"/>
        <w:spacing w:before="20" w:after="0" w:line="240" w:lineRule="auto"/>
        <w:ind w:right="210"/>
        <w:jc w:val="center"/>
      </w:pPr>
      <w:r>
        <w:rPr>
          <w:rFonts w:ascii="Times New Roman" w:eastAsia="Times New Roman" w:hAnsi="Times New Roman" w:cs="Times New Roman"/>
          <w:sz w:val="20"/>
          <w:szCs w:val="20"/>
          <w:lang w:val="en-US" w:eastAsia="pt-BR"/>
        </w:rPr>
        <w:t>Source: Authors, (2026).</w:t>
      </w:r>
    </w:p>
    <w:p>
      <w:pPr>
        <w:spacing w:after="0" w:line="240" w:lineRule="auto"/>
        <w:ind w:firstLine="567"/>
        <w:jc w:val="both"/>
      </w:pPr>
      <w:r>
        <w:rPr>
          <w:rFonts w:ascii="Times New Roman" w:eastAsia="Times New Roman" w:hAnsi="Times New Roman" w:cs="Times New Roman"/>
          <w:color w:val="222222"/>
          <w:sz w:val="20"/>
          <w:szCs w:val="20"/>
          <w:lang w:val="en-US" w:eastAsia="pt-BR"/>
        </w:rPr>
        <w:t>The computational path is the one drawn in Figure 1: the cross-scorer covariance strips the scorer noise out of the autocovariance, the kernel follows by deconvolution of (6), and the matched filter of (8) derived from it is closed with the feedback path of (9) and (10). Each stage is a separate program operating on the output file of the previous one, so the estimation, the filter comparison and the loop can be re-run independently.</w:t>
      </w:r>
    </w:p>
    <w:p>
      <w:pPr>
        <w:spacing w:after="0" w:line="240" w:lineRule="auto"/>
      </w:pPr>
    </w:p>
    <w:p>
      <w:pPr>
        <w:spacing w:after="0" w:line="240" w:lineRule="auto"/>
        <w:ind w:right="212"/>
        <w:jc w:val="center"/>
      </w:pPr>
      <w:r>
        <w:rPr>
          <w:rFonts w:ascii="Times New Roman" w:hAnsi="Times New Roman"/>
          <w:noProof/>
          <w:sz w:val="20"/>
          <w:szCs w:val="20"/>
        </w:rPr>
        <w:drawing>
          <wp:inline xmlns:a="http://schemas.openxmlformats.org/drawingml/2006/main" xmlns:pic="http://schemas.openxmlformats.org/drawingml/2006/picture">
            <wp:extent cx="3657600" cy="2824912"/>
            <wp:docPr id="19" name="Picture 19"/>
            <wp:cNvGraphicFramePr>
              <a:graphicFrameLocks noChangeAspect="1"/>
            </wp:cNvGraphicFramePr>
            <a:graphic>
              <a:graphicData uri="http://schemas.openxmlformats.org/drawingml/2006/picture">
                <pic:pic>
                  <pic:nvPicPr>
                    <pic:cNvPr id="0" name="fig1_block.png"/>
                    <pic:cNvPicPr/>
                  </pic:nvPicPr>
                  <pic:blipFill>
                    <a:blip r:embed="rId19"/>
                    <a:stretch>
                      <a:fillRect/>
                    </a:stretch>
                  </pic:blipFill>
                  <pic:spPr>
                    <a:xfrm>
                      <a:off x="0" y="0"/>
                      <a:ext cx="3657600" cy="2824912"/>
                    </a:xfrm>
                    <a:prstGeom prst="rect"/>
                  </pic:spPr>
                </pic:pic>
              </a:graphicData>
            </a:graphic>
          </wp:inline>
        </w:drawing>
      </w:r>
    </w:p>
    <w:p>
      <w:pPr>
        <w:shd w:val="clear" w:color="auto" w:fill="FFFFFF"/>
        <w:spacing w:after="0" w:line="240" w:lineRule="auto"/>
        <w:ind w:right="212"/>
        <w:jc w:val="center"/>
      </w:pPr>
      <w:r>
        <w:rPr>
          <w:rFonts w:ascii="Times New Roman" w:eastAsia="Times New Roman" w:hAnsi="Times New Roman" w:cs="Times New Roman"/>
          <w:sz w:val="20"/>
          <w:szCs w:val="20"/>
          <w:lang w:val="en-US" w:eastAsia="pt-BR"/>
        </w:rPr>
        <w:t>Figure 1: Identification and deployment path. Cross-scorer covariance removes the scorer noise from the autocovariance, which identifies the kernel; the matched filter is then run as a feedback loop.</w:t>
      </w:r>
    </w:p>
    <w:p>
      <w:pPr>
        <w:shd w:val="clear" w:color="auto" w:fill="FFFFFF"/>
        <w:spacing w:after="0" w:line="240" w:lineRule="auto"/>
        <w:ind w:right="212"/>
        <w:jc w:val="center"/>
      </w:pPr>
      <w:r>
        <w:rPr>
          <w:rFonts w:ascii="Times New Roman" w:eastAsia="Times New Roman" w:hAnsi="Times New Roman" w:cs="Times New Roman"/>
          <w:sz w:val="20"/>
          <w:szCs w:val="20"/>
          <w:lang w:val="en-US" w:eastAsia="pt-BR"/>
        </w:rPr>
        <w:t>Source: Authors, (2026).</w:t>
      </w:r>
    </w:p>
    <w:p>
      <w:pPr>
        <w:spacing w:after="0" w:line="240" w:lineRule="auto"/>
      </w:pPr>
    </w:p>
    <w:p>
      <w:pPr>
        <w:spacing w:line="240" w:lineRule="auto"/>
        <w:jc w:val="center"/>
      </w:pPr>
      <w:r>
        <w:rPr>
          <w:rFonts w:ascii="Times New Roman" w:hAnsi="Times New Roman"/>
          <w:b/>
          <w:bCs/>
          <w:color w:val="1F4E79" w:themeColor="accent1" w:themeShade="80"/>
          <w:sz w:val="20"/>
          <w:szCs w:val="20"/>
          <w:lang w:val="en-US" w:eastAsia="pt-BR"/>
        </w:rPr>
        <w:t>IV. RESULTS AND DISCUSSIONS</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IV.1 HOW NOISY SENTIMENT SCORERS ARE</w:t>
      </w:r>
    </w:p>
    <w:p>
      <w:pPr>
        <w:spacing w:after="0" w:line="240" w:lineRule="auto"/>
        <w:ind w:firstLine="567"/>
        <w:jc w:val="both"/>
      </w:pPr>
      <w:r>
        <w:rPr>
          <w:rFonts w:ascii="Times New Roman" w:eastAsia="Times New Roman" w:hAnsi="Times New Roman" w:cs="Times New Roman"/>
          <w:color w:val="222222"/>
          <w:sz w:val="20"/>
          <w:szCs w:val="20"/>
          <w:lang w:val="en-US" w:eastAsia="pt-BR"/>
        </w:rPr>
        <w:t>Table 2 reports the agreement between the scorers and the reliability implied by it. The scorers correlated weakly with one another, and the resulting reliability ratios were far below one: the transformer scorer carried about 26 per cent signal variance at the session level. The immediate implication is that the sentiment series used throughout this literature is dominated by instrument noise, and that any lag profile computed from it is correspondingly attenuated.</w:t>
      </w:r>
    </w:p>
    <w:p>
      <w:pPr>
        <w:spacing w:after="0" w:line="240" w:lineRule="auto"/>
      </w:pPr>
    </w:p>
    <w:p>
      <w:pPr>
        <w:shd w:val="clear" w:color="auto" w:fill="FFFFFF"/>
        <w:spacing w:after="0" w:line="240" w:lineRule="auto"/>
        <w:jc w:val="center"/>
      </w:pPr>
      <w:r>
        <w:rPr>
          <w:rFonts w:ascii="Times New Roman" w:eastAsia="Times New Roman" w:hAnsi="Times New Roman" w:cs="Times New Roman"/>
          <w:sz w:val="20"/>
          <w:szCs w:val="20"/>
          <w:lang w:val="en-US" w:eastAsia="pt-BR"/>
        </w:rPr>
        <w:t>Table 2: Scorer reliability and pairwise agreement.</w:t>
      </w:r>
    </w:p>
    <w:tbl>
      <w:tblPr>
        <w:tblStyle w:val="Tabelacomgrade"/>
        <w:tblW w:type="auto" w:w="0"/>
        <w:tblLayout w:type="autofit"/>
        <w:tblLook w:firstColumn="1" w:firstRow="1" w:lastColumn="0" w:lastRow="0" w:noHBand="0" w:noVBand="1" w:val="04A0"/>
      </w:tblPr>
      <w:tblGrid>
        <w:gridCol w:w="2728"/>
        <w:gridCol w:w="2728"/>
        <w:gridCol w:w="2728"/>
        <w:gridCol w:w="2728"/>
      </w:tblGrid>
      <w:tr>
        <w:trPr>
          <w:tblHeader/>
        </w:trPr>
        <w:tc>
          <w:tcPr>
            <w:tcW w:type="dxa" w:w="2728"/>
          </w:tcPr>
          <w:p>
            <w:pPr>
              <w:spacing w:after="0" w:line="240" w:lineRule="auto"/>
              <w:jc w:val="left"/>
            </w:pPr>
            <w:r>
              <w:rPr>
                <w:rFonts w:ascii="Times New Roman" w:eastAsia="Times New Roman" w:hAnsi="Times New Roman" w:cs="Times New Roman"/>
                <w:b/>
                <w:sz w:val="18"/>
                <w:szCs w:val="18"/>
                <w:lang w:val="en-US" w:eastAsia="pt-BR"/>
              </w:rPr>
              <w:t>Scorer</w:t>
            </w:r>
          </w:p>
        </w:tc>
        <w:tc>
          <w:tcPr>
            <w:tcW w:type="dxa" w:w="2728"/>
          </w:tcPr>
          <w:p>
            <w:pPr>
              <w:spacing w:after="0" w:line="240" w:lineRule="auto"/>
              <w:jc w:val="center"/>
            </w:pPr>
            <w:r>
              <w:rPr>
                <w:rFonts w:ascii="Times New Roman" w:eastAsia="Times New Roman" w:hAnsi="Times New Roman" w:cs="Times New Roman"/>
                <w:b/>
                <w:sz w:val="18"/>
                <w:szCs w:val="18"/>
                <w:lang w:val="en-US" w:eastAsia="pt-BR"/>
              </w:rPr>
              <w:t>Reliability</w:t>
            </w:r>
          </w:p>
        </w:tc>
        <w:tc>
          <w:tcPr>
            <w:tcW w:type="dxa" w:w="2728"/>
          </w:tcPr>
          <w:p>
            <w:pPr>
              <w:spacing w:after="0" w:line="240" w:lineRule="auto"/>
              <w:jc w:val="center"/>
            </w:pPr>
            <w:r>
              <w:rPr>
                <w:rFonts w:ascii="Times New Roman" w:eastAsia="Times New Roman" w:hAnsi="Times New Roman" w:cs="Times New Roman"/>
                <w:b/>
                <w:sz w:val="18"/>
                <w:szCs w:val="18"/>
                <w:lang w:val="en-US" w:eastAsia="pt-BR"/>
              </w:rPr>
              <w:t>Range over triples</w:t>
            </w:r>
          </w:p>
        </w:tc>
        <w:tc>
          <w:tcPr>
            <w:tcW w:type="dxa" w:w="2728"/>
          </w:tcPr>
          <w:p>
            <w:pPr>
              <w:spacing w:after="0" w:line="240" w:lineRule="auto"/>
              <w:jc w:val="center"/>
            </w:pPr>
            <w:r>
              <w:rPr>
                <w:rFonts w:ascii="Times New Roman" w:eastAsia="Times New Roman" w:hAnsi="Times New Roman" w:cs="Times New Roman"/>
                <w:b/>
                <w:sz w:val="18"/>
                <w:szCs w:val="18"/>
                <w:lang w:val="en-US" w:eastAsia="pt-BR"/>
              </w:rPr>
              <w:t>Mean |corr|</w:t>
            </w:r>
          </w:p>
        </w:tc>
      </w:tr>
      <w:tr>
        <w:tc>
          <w:tcPr>
            <w:tcW w:type="dxa" w:w="2728"/>
          </w:tcPr>
          <w:p>
            <w:pPr>
              <w:spacing w:after="0" w:line="240" w:lineRule="auto"/>
              <w:jc w:val="left"/>
            </w:pPr>
            <w:r>
              <w:rPr>
                <w:rFonts w:ascii="Times New Roman" w:eastAsia="Times New Roman" w:hAnsi="Times New Roman" w:cs="Times New Roman"/>
                <w:sz w:val="18"/>
                <w:szCs w:val="18"/>
                <w:lang w:val="en-US" w:eastAsia="pt-BR"/>
              </w:rPr>
              <w:t>Transformer</w:t>
            </w:r>
          </w:p>
        </w:tc>
        <w:tc>
          <w:tcPr>
            <w:tcW w:type="dxa" w:w="2728"/>
          </w:tcPr>
          <w:p>
            <w:pPr>
              <w:spacing w:after="0" w:line="240" w:lineRule="auto"/>
              <w:jc w:val="center"/>
            </w:pPr>
            <w:r>
              <w:rPr>
                <w:rFonts w:ascii="Times New Roman" w:eastAsia="Times New Roman" w:hAnsi="Times New Roman" w:cs="Times New Roman"/>
                <w:sz w:val="18"/>
                <w:szCs w:val="18"/>
                <w:lang w:val="en-US" w:eastAsia="pt-BR"/>
              </w:rPr>
              <w:t>0.262</w:t>
            </w:r>
          </w:p>
        </w:tc>
        <w:tc>
          <w:tcPr>
            <w:tcW w:type="dxa" w:w="2728"/>
          </w:tcPr>
          <w:p>
            <w:pPr>
              <w:spacing w:after="0" w:line="240" w:lineRule="auto"/>
              <w:jc w:val="center"/>
            </w:pPr>
            <w:r>
              <w:rPr>
                <w:rFonts w:ascii="Times New Roman" w:eastAsia="Times New Roman" w:hAnsi="Times New Roman" w:cs="Times New Roman"/>
                <w:sz w:val="18"/>
                <w:szCs w:val="18"/>
                <w:lang w:val="en-US" w:eastAsia="pt-BR"/>
              </w:rPr>
              <w:t>0.209-0.407</w:t>
            </w:r>
          </w:p>
        </w:tc>
        <w:tc>
          <w:tcPr>
            <w:tcW w:type="dxa" w:w="2728"/>
          </w:tcPr>
          <w:p>
            <w:pPr>
              <w:spacing w:after="0" w:line="240" w:lineRule="auto"/>
              <w:jc w:val="center"/>
            </w:pPr>
            <w:r>
              <w:rPr>
                <w:rFonts w:ascii="Times New Roman" w:eastAsia="Times New Roman" w:hAnsi="Times New Roman" w:cs="Times New Roman"/>
                <w:sz w:val="18"/>
                <w:szCs w:val="18"/>
                <w:lang w:val="en-US" w:eastAsia="pt-BR"/>
              </w:rPr>
              <w:t>0.32</w:t>
            </w:r>
          </w:p>
        </w:tc>
      </w:tr>
      <w:tr>
        <w:tc>
          <w:tcPr>
            <w:tcW w:type="dxa" w:w="2728"/>
          </w:tcPr>
          <w:p>
            <w:pPr>
              <w:spacing w:after="0" w:line="240" w:lineRule="auto"/>
              <w:jc w:val="left"/>
            </w:pPr>
            <w:r>
              <w:rPr>
                <w:rFonts w:ascii="Times New Roman" w:eastAsia="Times New Roman" w:hAnsi="Times New Roman" w:cs="Times New Roman"/>
                <w:sz w:val="18"/>
                <w:szCs w:val="18"/>
                <w:lang w:val="en-US" w:eastAsia="pt-BR"/>
              </w:rPr>
              <w:t>Finance lexicon</w:t>
            </w:r>
          </w:p>
        </w:tc>
        <w:tc>
          <w:tcPr>
            <w:tcW w:type="dxa" w:w="2728"/>
          </w:tcPr>
          <w:p>
            <w:pPr>
              <w:spacing w:after="0" w:line="240" w:lineRule="auto"/>
              <w:jc w:val="center"/>
            </w:pPr>
            <w:r>
              <w:rPr>
                <w:rFonts w:ascii="Times New Roman" w:eastAsia="Times New Roman" w:hAnsi="Times New Roman" w:cs="Times New Roman"/>
                <w:sz w:val="18"/>
                <w:szCs w:val="18"/>
                <w:lang w:val="en-US" w:eastAsia="pt-BR"/>
              </w:rPr>
              <w:t>0.368</w:t>
            </w:r>
          </w:p>
        </w:tc>
        <w:tc>
          <w:tcPr>
            <w:tcW w:type="dxa" w:w="2728"/>
          </w:tcPr>
          <w:p>
            <w:pPr>
              <w:spacing w:after="0" w:line="240" w:lineRule="auto"/>
              <w:jc w:val="center"/>
            </w:pPr>
            <w:r>
              <w:rPr>
                <w:rFonts w:ascii="Times New Roman" w:eastAsia="Times New Roman" w:hAnsi="Times New Roman" w:cs="Times New Roman"/>
                <w:sz w:val="18"/>
                <w:szCs w:val="18"/>
                <w:lang w:val="en-US" w:eastAsia="pt-BR"/>
              </w:rPr>
              <w:t>0.293-0.572</w:t>
            </w:r>
          </w:p>
        </w:tc>
        <w:tc>
          <w:tcPr>
            <w:tcW w:type="dxa" w:w="2728"/>
          </w:tcPr>
          <w:p>
            <w:pPr>
              <w:spacing w:after="0" w:line="240" w:lineRule="auto"/>
              <w:jc w:val="center"/>
            </w:pPr>
            <w:r>
              <w:rPr>
                <w:rFonts w:ascii="Times New Roman" w:eastAsia="Times New Roman" w:hAnsi="Times New Roman" w:cs="Times New Roman"/>
                <w:sz w:val="18"/>
                <w:szCs w:val="18"/>
                <w:lang w:val="en-US" w:eastAsia="pt-BR"/>
              </w:rPr>
              <w:t>0.35</w:t>
            </w:r>
          </w:p>
        </w:tc>
      </w:tr>
      <w:tr>
        <w:tc>
          <w:tcPr>
            <w:tcW w:type="dxa" w:w="2728"/>
          </w:tcPr>
          <w:p>
            <w:pPr>
              <w:spacing w:after="0" w:line="240" w:lineRule="auto"/>
              <w:jc w:val="left"/>
            </w:pPr>
            <w:r>
              <w:rPr>
                <w:rFonts w:ascii="Times New Roman" w:eastAsia="Times New Roman" w:hAnsi="Times New Roman" w:cs="Times New Roman"/>
                <w:sz w:val="18"/>
                <w:szCs w:val="18"/>
                <w:lang w:val="en-US" w:eastAsia="pt-BR"/>
              </w:rPr>
              <w:t>Rule-based valence</w:t>
            </w:r>
          </w:p>
        </w:tc>
        <w:tc>
          <w:tcPr>
            <w:tcW w:type="dxa" w:w="2728"/>
          </w:tcPr>
          <w:p>
            <w:pPr>
              <w:spacing w:after="0" w:line="240" w:lineRule="auto"/>
              <w:jc w:val="center"/>
            </w:pPr>
            <w:r>
              <w:rPr>
                <w:rFonts w:ascii="Times New Roman" w:eastAsia="Times New Roman" w:hAnsi="Times New Roman" w:cs="Times New Roman"/>
                <w:sz w:val="18"/>
                <w:szCs w:val="18"/>
                <w:lang w:val="en-US" w:eastAsia="pt-BR"/>
              </w:rPr>
              <w:t>0.426</w:t>
            </w:r>
          </w:p>
        </w:tc>
        <w:tc>
          <w:tcPr>
            <w:tcW w:type="dxa" w:w="2728"/>
          </w:tcPr>
          <w:p>
            <w:pPr>
              <w:spacing w:after="0" w:line="240" w:lineRule="auto"/>
              <w:jc w:val="center"/>
            </w:pPr>
            <w:r>
              <w:rPr>
                <w:rFonts w:ascii="Times New Roman" w:eastAsia="Times New Roman" w:hAnsi="Times New Roman" w:cs="Times New Roman"/>
                <w:sz w:val="18"/>
                <w:szCs w:val="18"/>
                <w:lang w:val="en-US" w:eastAsia="pt-BR"/>
              </w:rPr>
              <w:t>0.339-0.662</w:t>
            </w:r>
          </w:p>
        </w:tc>
        <w:tc>
          <w:tcPr>
            <w:tcW w:type="dxa" w:w="2728"/>
          </w:tcPr>
          <w:p>
            <w:pPr>
              <w:spacing w:after="0" w:line="240" w:lineRule="auto"/>
              <w:jc w:val="center"/>
            </w:pPr>
            <w:r>
              <w:rPr>
                <w:rFonts w:ascii="Times New Roman" w:eastAsia="Times New Roman" w:hAnsi="Times New Roman" w:cs="Times New Roman"/>
                <w:sz w:val="18"/>
                <w:szCs w:val="18"/>
                <w:lang w:val="en-US" w:eastAsia="pt-BR"/>
              </w:rPr>
              <w:t>0.36</w:t>
            </w:r>
          </w:p>
        </w:tc>
      </w:tr>
      <w:tr>
        <w:tc>
          <w:tcPr>
            <w:tcW w:type="dxa" w:w="2728"/>
          </w:tcPr>
          <w:p>
            <w:pPr>
              <w:spacing w:after="0" w:line="240" w:lineRule="auto"/>
              <w:jc w:val="left"/>
            </w:pPr>
            <w:r>
              <w:rPr>
                <w:rFonts w:ascii="Times New Roman" w:eastAsia="Times New Roman" w:hAnsi="Times New Roman" w:cs="Times New Roman"/>
                <w:sz w:val="18"/>
                <w:szCs w:val="18"/>
                <w:lang w:val="en-US" w:eastAsia="pt-BR"/>
              </w:rPr>
              <w:t>General lexicon</w:t>
            </w:r>
          </w:p>
        </w:tc>
        <w:tc>
          <w:tcPr>
            <w:tcW w:type="dxa" w:w="2728"/>
          </w:tcPr>
          <w:p>
            <w:pPr>
              <w:spacing w:after="0" w:line="240" w:lineRule="auto"/>
              <w:jc w:val="center"/>
            </w:pPr>
            <w:r>
              <w:rPr>
                <w:rFonts w:ascii="Times New Roman" w:eastAsia="Times New Roman" w:hAnsi="Times New Roman" w:cs="Times New Roman"/>
                <w:sz w:val="18"/>
                <w:szCs w:val="18"/>
                <w:lang w:val="en-US" w:eastAsia="pt-BR"/>
              </w:rPr>
              <w:t>0.193</w:t>
            </w:r>
          </w:p>
        </w:tc>
        <w:tc>
          <w:tcPr>
            <w:tcW w:type="dxa" w:w="2728"/>
          </w:tcPr>
          <w:p>
            <w:pPr>
              <w:spacing w:after="0" w:line="240" w:lineRule="auto"/>
              <w:jc w:val="center"/>
            </w:pPr>
            <w:r>
              <w:rPr>
                <w:rFonts w:ascii="Times New Roman" w:eastAsia="Times New Roman" w:hAnsi="Times New Roman" w:cs="Times New Roman"/>
                <w:sz w:val="18"/>
                <w:szCs w:val="18"/>
                <w:lang w:val="en-US" w:eastAsia="pt-BR"/>
              </w:rPr>
              <w:t>0.154-0.300</w:t>
            </w:r>
          </w:p>
        </w:tc>
        <w:tc>
          <w:tcPr>
            <w:tcW w:type="dxa" w:w="2728"/>
          </w:tcPr>
          <w:p>
            <w:pPr>
              <w:spacing w:after="0" w:line="240" w:lineRule="auto"/>
              <w:jc w:val="center"/>
            </w:pPr>
            <w:r>
              <w:rPr>
                <w:rFonts w:ascii="Times New Roman" w:eastAsia="Times New Roman" w:hAnsi="Times New Roman" w:cs="Times New Roman"/>
                <w:sz w:val="18"/>
                <w:szCs w:val="18"/>
                <w:lang w:val="en-US" w:eastAsia="pt-BR"/>
              </w:rPr>
              <w:t>0.29</w:t>
            </w:r>
          </w:p>
        </w:tc>
      </w:tr>
    </w:tbl>
    <w:p>
      <w:pPr>
        <w:shd w:val="clear" w:color="auto" w:fill="FFFFFF"/>
        <w:spacing w:before="20" w:after="0" w:line="240" w:lineRule="auto"/>
        <w:ind w:right="210"/>
        <w:jc w:val="center"/>
      </w:pPr>
      <w:r>
        <w:rPr>
          <w:rFonts w:ascii="Times New Roman" w:eastAsia="Times New Roman" w:hAnsi="Times New Roman" w:cs="Times New Roman"/>
          <w:sz w:val="20"/>
          <w:szCs w:val="20"/>
          <w:lang w:val="en-US" w:eastAsia="pt-BR"/>
        </w:rPr>
        <w:t>Source: Authors, (2026).</w:t>
      </w:r>
    </w:p>
    <w:p>
      <w:pPr>
        <w:spacing w:after="0" w:line="240" w:lineRule="auto"/>
        <w:ind w:firstLine="567"/>
        <w:jc w:val="both"/>
      </w:pPr>
      <w:r>
        <w:rPr>
          <w:rFonts w:ascii="Times New Roman" w:eastAsia="Times New Roman" w:hAnsi="Times New Roman" w:cs="Times New Roman"/>
          <w:color w:val="222222"/>
          <w:sz w:val="20"/>
          <w:szCs w:val="20"/>
          <w:lang w:val="en-US" w:eastAsia="pt-BR"/>
        </w:rPr>
        <w:t>Reliability is not a fixed property of a scorer. Because a session mean over n headlines divides the error variance by n, reliability must rise with news intensity, and Figure 2 confirmed that it does. This provides the natural experiment used later: instruments and sessions differ in how reliable their measured sentiment is, without any intervention by the analyst.</w:t>
      </w:r>
    </w:p>
    <w:p>
      <w:pPr>
        <w:spacing w:after="0" w:line="240" w:lineRule="auto"/>
      </w:pPr>
    </w:p>
    <w:p>
      <w:pPr>
        <w:spacing w:after="0" w:line="240" w:lineRule="auto"/>
        <w:ind w:right="212"/>
        <w:jc w:val="center"/>
      </w:pPr>
      <w:r>
        <w:rPr>
          <w:rFonts w:ascii="Times New Roman" w:hAnsi="Times New Roman"/>
          <w:noProof/>
          <w:sz w:val="20"/>
          <w:szCs w:val="20"/>
        </w:rPr>
        <w:drawing>
          <wp:inline xmlns:a="http://schemas.openxmlformats.org/drawingml/2006/main" xmlns:pic="http://schemas.openxmlformats.org/drawingml/2006/picture">
            <wp:extent cx="3657600" cy="2455817"/>
            <wp:docPr id="20" name="Picture 20"/>
            <wp:cNvGraphicFramePr>
              <a:graphicFrameLocks noChangeAspect="1"/>
            </wp:cNvGraphicFramePr>
            <a:graphic>
              <a:graphicData uri="http://schemas.openxmlformats.org/drawingml/2006/picture">
                <pic:pic>
                  <pic:nvPicPr>
                    <pic:cNvPr id="0" name="fig3_reliability.png"/>
                    <pic:cNvPicPr/>
                  </pic:nvPicPr>
                  <pic:blipFill>
                    <a:blip r:embed="rId20"/>
                    <a:stretch>
                      <a:fillRect/>
                    </a:stretch>
                  </pic:blipFill>
                  <pic:spPr>
                    <a:xfrm>
                      <a:off x="0" y="0"/>
                      <a:ext cx="3657600" cy="2455817"/>
                    </a:xfrm>
                    <a:prstGeom prst="rect"/>
                  </pic:spPr>
                </pic:pic>
              </a:graphicData>
            </a:graphic>
          </wp:inline>
        </w:drawing>
      </w:r>
    </w:p>
    <w:p>
      <w:pPr>
        <w:shd w:val="clear" w:color="auto" w:fill="FFFFFF"/>
        <w:spacing w:after="0" w:line="240" w:lineRule="auto"/>
        <w:ind w:right="212"/>
        <w:jc w:val="center"/>
      </w:pPr>
      <w:r>
        <w:rPr>
          <w:rFonts w:ascii="Times New Roman" w:eastAsia="Times New Roman" w:hAnsi="Times New Roman" w:cs="Times New Roman"/>
          <w:sz w:val="20"/>
          <w:szCs w:val="20"/>
          <w:lang w:val="en-US" w:eastAsia="pt-BR"/>
        </w:rPr>
        <w:t>Figure 2: Reliability index against the number of headlines in a session. Averaging more headlines reduces scorer error variance, so the measured sentiment of a busy session is a better instrument.</w:t>
      </w:r>
    </w:p>
    <w:p>
      <w:pPr>
        <w:shd w:val="clear" w:color="auto" w:fill="FFFFFF"/>
        <w:spacing w:after="0" w:line="240" w:lineRule="auto"/>
        <w:ind w:right="212"/>
        <w:jc w:val="center"/>
      </w:pPr>
      <w:r>
        <w:rPr>
          <w:rFonts w:ascii="Times New Roman" w:eastAsia="Times New Roman" w:hAnsi="Times New Roman" w:cs="Times New Roman"/>
          <w:sz w:val="20"/>
          <w:szCs w:val="20"/>
          <w:lang w:val="en-US" w:eastAsia="pt-BR"/>
        </w:rPr>
        <w:t>Source: Authors, (2026).</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IV.2 RESPONSE KERNELS FOR RETURN AND VOLATILITY</w:t>
      </w:r>
    </w:p>
    <w:p>
      <w:pPr>
        <w:spacing w:after="0" w:line="240" w:lineRule="auto"/>
        <w:ind w:firstLine="567"/>
        <w:jc w:val="both"/>
      </w:pPr>
      <w:r>
        <w:rPr>
          <w:rFonts w:ascii="Times New Roman" w:eastAsia="Times New Roman" w:hAnsi="Times New Roman" w:cs="Times New Roman"/>
          <w:color w:val="222222"/>
          <w:sz w:val="20"/>
          <w:szCs w:val="20"/>
          <w:lang w:val="en-US" w:eastAsia="pt-BR"/>
        </w:rPr>
        <w:t>Figure 3 shows the lag profile, the conventional deconvolution and the noise-corrected kernel for the return response, and Figure 4 the same for volatility. The two responses had qualitatively different shapes, which is the clearest evidence that the procedure is measuring something real rather than imposing a form.</w:t>
      </w:r>
    </w:p>
    <w:p>
      <w:pPr>
        <w:spacing w:after="0" w:line="240" w:lineRule="auto"/>
      </w:pPr>
    </w:p>
    <w:p>
      <w:pPr>
        <w:spacing w:after="0" w:line="240" w:lineRule="auto"/>
        <w:ind w:right="212"/>
        <w:jc w:val="center"/>
      </w:pPr>
      <w:r>
        <w:rPr>
          <w:rFonts w:ascii="Times New Roman" w:hAnsi="Times New Roman"/>
          <w:noProof/>
          <w:sz w:val="20"/>
          <w:szCs w:val="20"/>
        </w:rPr>
        <w:drawing>
          <wp:inline xmlns:a="http://schemas.openxmlformats.org/drawingml/2006/main" xmlns:pic="http://schemas.openxmlformats.org/drawingml/2006/picture">
            <wp:extent cx="3657600" cy="2609959"/>
            <wp:docPr id="21" name="Picture 21"/>
            <wp:cNvGraphicFramePr>
              <a:graphicFrameLocks noChangeAspect="1"/>
            </wp:cNvGraphicFramePr>
            <a:graphic>
              <a:graphicData uri="http://schemas.openxmlformats.org/drawingml/2006/picture">
                <pic:pic>
                  <pic:nvPicPr>
                    <pic:cNvPr id="0" name="fig2_kernel.png"/>
                    <pic:cNvPicPr/>
                  </pic:nvPicPr>
                  <pic:blipFill>
                    <a:blip r:embed="rId21"/>
                    <a:stretch>
                      <a:fillRect/>
                    </a:stretch>
                  </pic:blipFill>
                  <pic:spPr>
                    <a:xfrm>
                      <a:off x="0" y="0"/>
                      <a:ext cx="3657600" cy="2609959"/>
                    </a:xfrm>
                    <a:prstGeom prst="rect"/>
                  </pic:spPr>
                </pic:pic>
              </a:graphicData>
            </a:graphic>
          </wp:inline>
        </w:drawing>
      </w:r>
    </w:p>
    <w:p>
      <w:pPr>
        <w:shd w:val="clear" w:color="auto" w:fill="FFFFFF"/>
        <w:spacing w:after="0" w:line="240" w:lineRule="auto"/>
        <w:ind w:right="212"/>
        <w:jc w:val="center"/>
      </w:pPr>
      <w:r>
        <w:rPr>
          <w:rFonts w:ascii="Times New Roman" w:eastAsia="Times New Roman" w:hAnsi="Times New Roman" w:cs="Times New Roman"/>
          <w:sz w:val="20"/>
          <w:szCs w:val="20"/>
          <w:lang w:val="en-US" w:eastAsia="pt-BR"/>
        </w:rPr>
        <w:t>Figure 3: Return response. The lag profile suggests a longer memory than the deconvolved and noise-corrected kernels, which concentrate the response in the first few sessions. Shaded band is a 95 per cent cluster-bootstrap interval.</w:t>
      </w:r>
    </w:p>
    <w:p>
      <w:pPr>
        <w:shd w:val="clear" w:color="auto" w:fill="FFFFFF"/>
        <w:spacing w:after="0" w:line="240" w:lineRule="auto"/>
        <w:ind w:right="212"/>
        <w:jc w:val="center"/>
      </w:pPr>
      <w:r>
        <w:rPr>
          <w:rFonts w:ascii="Times New Roman" w:eastAsia="Times New Roman" w:hAnsi="Times New Roman" w:cs="Times New Roman"/>
          <w:sz w:val="20"/>
          <w:szCs w:val="20"/>
          <w:lang w:val="en-US" w:eastAsia="pt-BR"/>
        </w:rPr>
        <w:t>Source: Authors, (2026).</w:t>
      </w:r>
    </w:p>
    <w:p>
      <w:pPr>
        <w:spacing w:after="0" w:line="240" w:lineRule="auto"/>
      </w:pPr>
    </w:p>
    <w:p>
      <w:pPr>
        <w:spacing w:after="0" w:line="240" w:lineRule="auto"/>
        <w:ind w:right="212"/>
        <w:jc w:val="center"/>
      </w:pPr>
      <w:r>
        <w:rPr>
          <w:rFonts w:ascii="Times New Roman" w:hAnsi="Times New Roman"/>
          <w:noProof/>
          <w:sz w:val="20"/>
          <w:szCs w:val="20"/>
        </w:rPr>
        <w:drawing>
          <wp:inline xmlns:a="http://schemas.openxmlformats.org/drawingml/2006/main" xmlns:pic="http://schemas.openxmlformats.org/drawingml/2006/picture">
            <wp:extent cx="3657600" cy="2612571"/>
            <wp:docPr id="22" name="Picture 22"/>
            <wp:cNvGraphicFramePr>
              <a:graphicFrameLocks noChangeAspect="1"/>
            </wp:cNvGraphicFramePr>
            <a:graphic>
              <a:graphicData uri="http://schemas.openxmlformats.org/drawingml/2006/picture">
                <pic:pic>
                  <pic:nvPicPr>
                    <pic:cNvPr id="0" name="fig2b_kernel_vol.png"/>
                    <pic:cNvPicPr/>
                  </pic:nvPicPr>
                  <pic:blipFill>
                    <a:blip r:embed="rId22"/>
                    <a:stretch>
                      <a:fillRect/>
                    </a:stretch>
                  </pic:blipFill>
                  <pic:spPr>
                    <a:xfrm>
                      <a:off x="0" y="0"/>
                      <a:ext cx="3657600" cy="2612571"/>
                    </a:xfrm>
                    <a:prstGeom prst="rect"/>
                  </pic:spPr>
                </pic:pic>
              </a:graphicData>
            </a:graphic>
          </wp:inline>
        </w:drawing>
      </w:r>
    </w:p>
    <w:p>
      <w:pPr>
        <w:shd w:val="clear" w:color="auto" w:fill="FFFFFF"/>
        <w:spacing w:after="0" w:line="240" w:lineRule="auto"/>
        <w:ind w:right="212"/>
        <w:jc w:val="center"/>
      </w:pPr>
      <w:r>
        <w:rPr>
          <w:rFonts w:ascii="Times New Roman" w:eastAsia="Times New Roman" w:hAnsi="Times New Roman" w:cs="Times New Roman"/>
          <w:sz w:val="20"/>
          <w:szCs w:val="20"/>
          <w:lang w:val="en-US" w:eastAsia="pt-BR"/>
        </w:rPr>
        <w:t>Figure 4: Volatility response. The corrected kernel is an order of magnitude larger than the return kernel and remains materially different from zero for far more lags, so news predicts how much an instrument will move long after it stops predicting which way.</w:t>
      </w:r>
    </w:p>
    <w:p>
      <w:pPr>
        <w:shd w:val="clear" w:color="auto" w:fill="FFFFFF"/>
        <w:spacing w:after="0" w:line="240" w:lineRule="auto"/>
        <w:ind w:right="212"/>
        <w:jc w:val="center"/>
      </w:pPr>
      <w:r>
        <w:rPr>
          <w:rFonts w:ascii="Times New Roman" w:eastAsia="Times New Roman" w:hAnsi="Times New Roman" w:cs="Times New Roman"/>
          <w:sz w:val="20"/>
          <w:szCs w:val="20"/>
          <w:lang w:val="en-US" w:eastAsia="pt-BR"/>
        </w:rPr>
        <w:t>Source: Authors, (2026).</w:t>
      </w:r>
    </w:p>
    <w:p>
      <w:pPr>
        <w:spacing w:after="0" w:line="240" w:lineRule="auto"/>
        <w:ind w:firstLine="567"/>
        <w:jc w:val="both"/>
      </w:pPr>
      <w:r>
        <w:rPr>
          <w:rFonts w:ascii="Times New Roman" w:eastAsia="Times New Roman" w:hAnsi="Times New Roman" w:cs="Times New Roman"/>
          <w:color w:val="222222"/>
          <w:sz w:val="20"/>
          <w:szCs w:val="20"/>
          <w:lang w:val="en-US" w:eastAsia="pt-BR"/>
        </w:rPr>
        <w:t>The noise correction raised the magnitude of the kernel throughout, as attenuation theory requires, and it did so unevenly across lags, confirming that measurement error reshapes rather than merely rescales the estimated response.</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IV.3 FILTERS OUT OF SAMPLE</w:t>
      </w:r>
    </w:p>
    <w:p>
      <w:pPr>
        <w:spacing w:after="0" w:line="240" w:lineRule="auto"/>
        <w:ind w:firstLine="567"/>
        <w:jc w:val="both"/>
      </w:pPr>
      <w:r>
        <w:rPr>
          <w:rFonts w:ascii="Times New Roman" w:eastAsia="Times New Roman" w:hAnsi="Times New Roman" w:cs="Times New Roman"/>
          <w:color w:val="222222"/>
          <w:sz w:val="20"/>
          <w:szCs w:val="20"/>
          <w:lang w:val="en-US" w:eastAsia="pt-BR"/>
        </w:rPr>
        <w:t>Table 3 compares aggregation filters on the held-out window. Each filter is scaled by a regression fitted on training data, so all of them are scored as forecasts of the same response and a filter with negative taps is not penalised for its sign.</w:t>
      </w:r>
    </w:p>
    <w:p>
      <w:pPr>
        <w:spacing w:after="0" w:line="240" w:lineRule="auto"/>
        <w:ind w:firstLine="567"/>
        <w:jc w:val="both"/>
      </w:pPr>
      <w:r>
        <w:rPr>
          <w:rFonts w:ascii="Times New Roman" w:eastAsia="Times New Roman" w:hAnsi="Times New Roman" w:cs="Times New Roman"/>
          <w:color w:val="222222"/>
          <w:sz w:val="20"/>
          <w:szCs w:val="20"/>
          <w:lang w:val="en-US" w:eastAsia="pt-BR"/>
        </w:rPr>
        <w:t>For the volatility response the identified filter (wiener) reaches 0.0313 against 0.0371 for the training-selected window (exp-1), so it does not improve on a well-chosen fixed window on this criterion with a Diebold-Mariano statistic of -0.20. The single-session filter reaches 0.0250, and the filter read directly off the lag profile reaches 0.0304. For the return response the identified filter (wiener) reaches 0.0108 against 0.0132 for the training-selected window (latest), so it does not improve on a well-chosen fixed window on this criterion with a Diebold-Mariano statistic of -2.02. The single-session filter reaches 0.0132, and the filter read directly off the lag profile reaches 0.0100.</w:t>
      </w:r>
    </w:p>
    <w:p>
      <w:pPr>
        <w:spacing w:after="0" w:line="240" w:lineRule="auto"/>
      </w:pPr>
    </w:p>
    <w:p>
      <w:pPr>
        <w:shd w:val="clear" w:color="auto" w:fill="FFFFFF"/>
        <w:spacing w:after="0" w:line="240" w:lineRule="auto"/>
        <w:jc w:val="center"/>
      </w:pPr>
      <w:r>
        <w:rPr>
          <w:rFonts w:ascii="Times New Roman" w:eastAsia="Times New Roman" w:hAnsi="Times New Roman" w:cs="Times New Roman"/>
          <w:sz w:val="20"/>
          <w:szCs w:val="20"/>
          <w:lang w:val="en-US" w:eastAsia="pt-BR"/>
        </w:rPr>
        <w:t>Table 3: Out-of-sample filter comparison. Positive Diebold-Mariano favours the filter over the training-selected window.</w:t>
      </w:r>
    </w:p>
    <w:tbl>
      <w:tblPr>
        <w:tblStyle w:val="Tabelacomgrade"/>
        <w:tblW w:type="auto" w:w="0"/>
        <w:tblLayout w:type="autofit"/>
        <w:tblLook w:firstColumn="1" w:firstRow="1" w:lastColumn="0" w:lastRow="0" w:noHBand="0" w:noVBand="1" w:val="04A0"/>
      </w:tblPr>
      <w:tblGrid>
        <w:gridCol w:w="2183"/>
        <w:gridCol w:w="2183"/>
        <w:gridCol w:w="2183"/>
        <w:gridCol w:w="2183"/>
        <w:gridCol w:w="2183"/>
      </w:tblGrid>
      <w:tr>
        <w:trPr>
          <w:tblHeader/>
        </w:trPr>
        <w:tc>
          <w:tcPr>
            <w:tcW w:type="dxa" w:w="2183"/>
          </w:tcPr>
          <w:p>
            <w:pPr>
              <w:spacing w:after="0" w:line="240" w:lineRule="auto"/>
              <w:jc w:val="left"/>
            </w:pPr>
            <w:r>
              <w:rPr>
                <w:rFonts w:ascii="Times New Roman" w:eastAsia="Times New Roman" w:hAnsi="Times New Roman" w:cs="Times New Roman"/>
                <w:b/>
                <w:sz w:val="18"/>
                <w:szCs w:val="18"/>
                <w:lang w:val="en-US" w:eastAsia="pt-BR"/>
              </w:rPr>
              <w:t>Filter</w:t>
            </w:r>
          </w:p>
        </w:tc>
        <w:tc>
          <w:tcPr>
            <w:tcW w:type="dxa" w:w="2183"/>
          </w:tcPr>
          <w:p>
            <w:pPr>
              <w:spacing w:after="0" w:line="240" w:lineRule="auto"/>
              <w:jc w:val="center"/>
            </w:pPr>
            <w:r>
              <w:rPr>
                <w:rFonts w:ascii="Times New Roman" w:eastAsia="Times New Roman" w:hAnsi="Times New Roman" w:cs="Times New Roman"/>
                <w:b/>
                <w:sz w:val="18"/>
                <w:szCs w:val="18"/>
                <w:lang w:val="en-US" w:eastAsia="pt-BR"/>
              </w:rPr>
              <w:t>IC</w:t>
            </w:r>
          </w:p>
        </w:tc>
        <w:tc>
          <w:tcPr>
            <w:tcW w:type="dxa" w:w="2183"/>
          </w:tcPr>
          <w:p>
            <w:pPr>
              <w:spacing w:after="0" w:line="240" w:lineRule="auto"/>
              <w:jc w:val="center"/>
            </w:pPr>
            <w:r>
              <w:rPr>
                <w:rFonts w:ascii="Times New Roman" w:eastAsia="Times New Roman" w:hAnsi="Times New Roman" w:cs="Times New Roman"/>
                <w:b/>
                <w:sz w:val="18"/>
                <w:szCs w:val="18"/>
                <w:lang w:val="en-US" w:eastAsia="pt-BR"/>
              </w:rPr>
              <w:t>Dir. acc.</w:t>
            </w:r>
          </w:p>
        </w:tc>
        <w:tc>
          <w:tcPr>
            <w:tcW w:type="dxa" w:w="2183"/>
          </w:tcPr>
          <w:p>
            <w:pPr>
              <w:spacing w:after="0" w:line="240" w:lineRule="auto"/>
              <w:jc w:val="center"/>
            </w:pPr>
            <w:r>
              <w:rPr>
                <w:rFonts w:ascii="Times New Roman" w:eastAsia="Times New Roman" w:hAnsi="Times New Roman" w:cs="Times New Roman"/>
                <w:b/>
                <w:sz w:val="18"/>
                <w:szCs w:val="18"/>
                <w:lang w:val="en-US" w:eastAsia="pt-BR"/>
              </w:rPr>
              <w:t>NW t</w:t>
            </w:r>
          </w:p>
        </w:tc>
        <w:tc>
          <w:tcPr>
            <w:tcW w:type="dxa" w:w="2183"/>
          </w:tcPr>
          <w:p>
            <w:pPr>
              <w:spacing w:after="0" w:line="240" w:lineRule="auto"/>
              <w:jc w:val="center"/>
            </w:pPr>
            <w:r>
              <w:rPr>
                <w:rFonts w:ascii="Times New Roman" w:eastAsia="Times New Roman" w:hAnsi="Times New Roman" w:cs="Times New Roman"/>
                <w:b/>
                <w:sz w:val="18"/>
                <w:szCs w:val="18"/>
                <w:lang w:val="en-US" w:eastAsia="pt-BR"/>
              </w:rPr>
              <w:t>DM vs base</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Vol: latest</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0.0250</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0.5098</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13.32</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-13.48</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Vol: uniform-3</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0.0375</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0.5130</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15.50</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-0.82</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Vol: uniform-5</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0.0420</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0.5139</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15.88</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3.30</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Vol: uniform-10</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0.0406</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0.5149</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14.53</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-9.30</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Vol: cwin-5</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0.0349</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0.5151</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15.44</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-7.32</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Vol: exp-3</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0.0439</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0.5158</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15.93</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4.22</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Vol: lagprofile</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0.0304</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0.5100</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13.47</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-0.47</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Vol: corrected</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0.0311</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0.5095</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13.62</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-0.35</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Vol: wiener</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0.0313</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0.5098</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13.70</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-0.20</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Ret: latest (train pick)</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0.0132</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0.5039</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7.50</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Ret: uniform-3</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0.0077</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0.4992</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4.03</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-4.61</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Ret: uniform-5</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0.0053</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0.4995</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2.76</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-5.16</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Ret: uniform-10</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0.0049</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0.5005</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2.35</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-5.00</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Ret: cwin-5</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0.0078</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0.5010</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4.59</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-4.57</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Ret: exp-3</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0.0079</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0.4997</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3.83</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-4.78</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Ret: lagprofile</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0.0100</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0.5023</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5.96</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-2.67</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Ret: corrected</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0.0107</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0.5024</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6.34</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-2.07</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Ret: wiener</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0.0108</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0.5023</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6.36</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-2.02</w:t>
            </w:r>
          </w:p>
        </w:tc>
      </w:tr>
    </w:tbl>
    <w:p>
      <w:pPr>
        <w:shd w:val="clear" w:color="auto" w:fill="FFFFFF"/>
        <w:spacing w:before="20" w:after="0" w:line="240" w:lineRule="auto"/>
        <w:ind w:right="210"/>
        <w:jc w:val="center"/>
      </w:pPr>
      <w:r>
        <w:rPr>
          <w:rFonts w:ascii="Times New Roman" w:eastAsia="Times New Roman" w:hAnsi="Times New Roman" w:cs="Times New Roman"/>
          <w:sz w:val="20"/>
          <w:szCs w:val="20"/>
          <w:lang w:val="en-US" w:eastAsia="pt-BR"/>
        </w:rPr>
        <w:t>Source: Authors, (2026).</w:t>
      </w:r>
    </w:p>
    <w:p>
      <w:pPr>
        <w:spacing w:after="0" w:line="240" w:lineRule="auto"/>
        <w:ind w:firstLine="567"/>
        <w:jc w:val="both"/>
      </w:pPr>
      <w:r>
        <w:rPr>
          <w:rFonts w:ascii="Times New Roman" w:eastAsia="Times New Roman" w:hAnsi="Times New Roman" w:cs="Times New Roman"/>
          <w:color w:val="222222"/>
          <w:sz w:val="20"/>
          <w:szCs w:val="20"/>
          <w:lang w:val="en-US" w:eastAsia="pt-BR"/>
        </w:rPr>
        <w:t>The pattern in the return block is the one the identified kernel itself predicts. The corrected kernel concentrates 44 per cent of its absolute mass at lag zero, so the theoretical matched filter is close to a single-session readout, and the single-session baseline is accordingly the strongest filter out of sample; every longer window dilutes the one informative lag with noise, and performance decays monotonically with window length. The estimated twelve-tap filters pay a small estimation-variance premium over the ideal they approximate. What looks like a defeat for the method is therefore a confirmation of its output: the kernel says that for direction, yesterday's news is all there is. The volatility block showed the opposite regime. The response is spread over many lags, multi-session windows dominate the single-session readout, and the choice within the fixed family moves the coefficient from 0.0250 to 0.0439, a wider spread than the gap between the identified filters and the best window. The static identified filters sit inside the top of that family without any window having been selected, but they do not beat it: their advantage on the training window does not survive to the test years, which is direct evidence that the kernel drifts between eras. Drift, not identification, is the binding constraint, and it is precisely the case the closed loop of Section II.7 is designed for.</w:t>
      </w:r>
    </w:p>
    <w:p>
      <w:pPr>
        <w:spacing w:after="0" w:line="240" w:lineRule="auto"/>
        <w:ind w:firstLine="567"/>
        <w:jc w:val="both"/>
      </w:pPr>
      <w:r>
        <w:rPr>
          <w:rFonts w:ascii="Times New Roman" w:eastAsia="Times New Roman" w:hAnsi="Times New Roman" w:cs="Times New Roman"/>
          <w:color w:val="222222"/>
          <w:sz w:val="20"/>
          <w:szCs w:val="20"/>
          <w:lang w:val="en-US" w:eastAsia="pt-BR"/>
        </w:rPr>
        <w:t>Figure 5 shows the same comparison for the volatility response as an ordering of filters, which makes the spread across the fixed-window family visible. The relevant contrast is not the gap at the top of that family but its width: the choice of window moves the result by more than the choice between an identified filter and a well-chosen window, and the identified filters reach their position without a window length having been selected.</w:t>
      </w:r>
    </w:p>
    <w:p>
      <w:pPr>
        <w:spacing w:after="0" w:line="240" w:lineRule="auto"/>
      </w:pPr>
    </w:p>
    <w:p>
      <w:pPr>
        <w:spacing w:after="0" w:line="240" w:lineRule="auto"/>
        <w:ind w:right="212"/>
        <w:jc w:val="center"/>
      </w:pPr>
      <w:r>
        <w:rPr>
          <w:rFonts w:ascii="Times New Roman" w:hAnsi="Times New Roman"/>
          <w:noProof/>
          <w:sz w:val="20"/>
          <w:szCs w:val="20"/>
        </w:rPr>
        <w:drawing>
          <wp:inline xmlns:a="http://schemas.openxmlformats.org/drawingml/2006/main" xmlns:pic="http://schemas.openxmlformats.org/drawingml/2006/picture">
            <wp:extent cx="3657600" cy="2769326"/>
            <wp:docPr id="23" name="Picture 23"/>
            <wp:cNvGraphicFramePr>
              <a:graphicFrameLocks noChangeAspect="1"/>
            </wp:cNvGraphicFramePr>
            <a:graphic>
              <a:graphicData uri="http://schemas.openxmlformats.org/drawingml/2006/picture">
                <pic:pic>
                  <pic:nvPicPr>
                    <pic:cNvPr id="0" name="fig4_filters.png"/>
                    <pic:cNvPicPr/>
                  </pic:nvPicPr>
                  <pic:blipFill>
                    <a:blip r:embed="rId23"/>
                    <a:stretch>
                      <a:fillRect/>
                    </a:stretch>
                  </pic:blipFill>
                  <pic:spPr>
                    <a:xfrm>
                      <a:off x="0" y="0"/>
                      <a:ext cx="3657600" cy="2769326"/>
                    </a:xfrm>
                    <a:prstGeom prst="rect"/>
                  </pic:spPr>
                </pic:pic>
              </a:graphicData>
            </a:graphic>
          </wp:inline>
        </w:drawing>
      </w:r>
    </w:p>
    <w:p>
      <w:pPr>
        <w:shd w:val="clear" w:color="auto" w:fill="FFFFFF"/>
        <w:spacing w:after="0" w:line="240" w:lineRule="auto"/>
        <w:ind w:right="212"/>
        <w:jc w:val="center"/>
      </w:pPr>
      <w:r>
        <w:rPr>
          <w:rFonts w:ascii="Times New Roman" w:eastAsia="Times New Roman" w:hAnsi="Times New Roman" w:cs="Times New Roman"/>
          <w:sz w:val="20"/>
          <w:szCs w:val="20"/>
          <w:lang w:val="en-US" w:eastAsia="pt-BR"/>
        </w:rPr>
        <w:t>Figure 5: Out-of-sample information coefficient by aggregation filter for the volatility response. Identified filters are shown in dark tone, the lag profile in mid tone and the fixed windows in light tone.</w:t>
      </w:r>
    </w:p>
    <w:p>
      <w:pPr>
        <w:shd w:val="clear" w:color="auto" w:fill="FFFFFF"/>
        <w:spacing w:after="0" w:line="240" w:lineRule="auto"/>
        <w:ind w:right="212"/>
        <w:jc w:val="center"/>
      </w:pPr>
      <w:r>
        <w:rPr>
          <w:rFonts w:ascii="Times New Roman" w:eastAsia="Times New Roman" w:hAnsi="Times New Roman" w:cs="Times New Roman"/>
          <w:sz w:val="20"/>
          <w:szCs w:val="20"/>
          <w:lang w:val="en-US" w:eastAsia="pt-BR"/>
        </w:rPr>
        <w:t>Source: Authors, (2026).</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IV.4 LOOP GAIN AGAINST ITS PREDICTION</w:t>
      </w:r>
    </w:p>
    <w:p>
      <w:pPr>
        <w:spacing w:after="0" w:line="240" w:lineRule="auto"/>
        <w:ind w:firstLine="567"/>
        <w:jc w:val="both"/>
      </w:pPr>
      <w:r>
        <w:rPr>
          <w:rFonts w:ascii="Times New Roman" w:eastAsia="Times New Roman" w:hAnsi="Times New Roman" w:cs="Times New Roman"/>
          <w:color w:val="222222"/>
          <w:sz w:val="20"/>
          <w:szCs w:val="20"/>
          <w:lang w:val="en-US" w:eastAsia="pt-BR"/>
        </w:rPr>
        <w:t>The loop was run over the held-out window with the gain fixed at the value predicted from training quantities, and separately over a sweep of gains, to test whether the design rule locates the optimum.</w:t>
      </w:r>
    </w:p>
    <w:p>
      <w:pPr>
        <w:spacing w:after="0" w:line="240" w:lineRule="auto"/>
        <w:ind w:firstLine="567"/>
        <w:jc w:val="both"/>
      </w:pPr>
      <w:r>
        <w:rPr>
          <w:rFonts w:ascii="Times New Roman" w:eastAsia="Times New Roman" w:hAnsi="Times New Roman" w:cs="Times New Roman"/>
          <w:color w:val="222222"/>
          <w:sz w:val="20"/>
          <w:szCs w:val="20"/>
          <w:lang w:val="en-US" w:eastAsia="pt-BR"/>
        </w:rPr>
        <w:t>For the volatility response the measured input power gives a stability bound of 0.4476, and the reliability of the loop input is 0.387, so a design that ignored scorer noise would place the bound 2.6 times too high. The gain predicted from training quantities alone is 8.2e-05, against an empirically optimal 0.00041, a factor of 5.0. Running the loop at the predicted gain raises the out-of-sample information coefficient, from 0.0313 open loop to 0.0645 closed loop. The return response sees the same input power and reliability, so the same bound applies. The gain predicted from training quantities alone is 7.2e-05, against an empirically optimal 4.5e-05, a factor of 1.6. Running the loop at the predicted gain does not raise the out-of-sample information coefficient, from 0.0108 open loop to -0.0005 closed loop. Across news-intensity strata the reliability of the loop input rises from 0.346 to 0.405, and the empirically best gain moves from 0.0011 to 0.002, against predicted values of 5.9e-05 and 6.2e-05.</w:t>
      </w:r>
    </w:p>
    <w:p>
      <w:pPr>
        <w:spacing w:after="0" w:line="240" w:lineRule="auto"/>
      </w:pPr>
    </w:p>
    <w:p>
      <w:pPr>
        <w:shd w:val="clear" w:color="auto" w:fill="FFFFFF"/>
        <w:spacing w:after="0" w:line="240" w:lineRule="auto"/>
        <w:jc w:val="center"/>
      </w:pPr>
      <w:r>
        <w:rPr>
          <w:rFonts w:ascii="Times New Roman" w:eastAsia="Times New Roman" w:hAnsi="Times New Roman" w:cs="Times New Roman"/>
          <w:sz w:val="20"/>
          <w:szCs w:val="20"/>
          <w:lang w:val="en-US" w:eastAsia="pt-BR"/>
        </w:rPr>
        <w:t>Table 4: Closed-loop design quantities, measured on training data, and outcomes on the held-out window.</w:t>
      </w:r>
    </w:p>
    <w:tbl>
      <w:tblPr>
        <w:tblStyle w:val="Tabelacomgrade"/>
        <w:tblW w:type="auto" w:w="0"/>
        <w:tblLayout w:type="autofit"/>
        <w:tblLook w:firstColumn="1" w:firstRow="1" w:lastColumn="0" w:lastRow="0" w:noHBand="0" w:noVBand="1" w:val="04A0"/>
      </w:tblPr>
      <w:tblGrid>
        <w:gridCol w:w="3638"/>
        <w:gridCol w:w="3638"/>
        <w:gridCol w:w="3638"/>
      </w:tblGrid>
      <w:tr>
        <w:trPr>
          <w:tblHeader/>
        </w:trPr>
        <w:tc>
          <w:tcPr>
            <w:tcW w:type="dxa" w:w="3638"/>
          </w:tcPr>
          <w:p>
            <w:pPr>
              <w:spacing w:after="0" w:line="240" w:lineRule="auto"/>
              <w:jc w:val="left"/>
            </w:pPr>
            <w:r>
              <w:rPr>
                <w:rFonts w:ascii="Times New Roman" w:eastAsia="Times New Roman" w:hAnsi="Times New Roman" w:cs="Times New Roman"/>
                <w:b/>
                <w:sz w:val="18"/>
                <w:szCs w:val="18"/>
                <w:lang w:val="en-US" w:eastAsia="pt-BR"/>
              </w:rPr>
              <w:t>Quantity</w:t>
            </w:r>
          </w:p>
        </w:tc>
        <w:tc>
          <w:tcPr>
            <w:tcW w:type="dxa" w:w="3638"/>
          </w:tcPr>
          <w:p>
            <w:pPr>
              <w:spacing w:after="0" w:line="240" w:lineRule="auto"/>
              <w:jc w:val="center"/>
            </w:pPr>
            <w:r>
              <w:rPr>
                <w:rFonts w:ascii="Times New Roman" w:eastAsia="Times New Roman" w:hAnsi="Times New Roman" w:cs="Times New Roman"/>
                <w:b/>
                <w:sz w:val="18"/>
                <w:szCs w:val="18"/>
                <w:lang w:val="en-US" w:eastAsia="pt-BR"/>
              </w:rPr>
              <w:t>Return</w:t>
            </w:r>
          </w:p>
        </w:tc>
        <w:tc>
          <w:tcPr>
            <w:tcW w:type="dxa" w:w="3638"/>
          </w:tcPr>
          <w:p>
            <w:pPr>
              <w:spacing w:after="0" w:line="240" w:lineRule="auto"/>
              <w:jc w:val="center"/>
            </w:pPr>
            <w:r>
              <w:rPr>
                <w:rFonts w:ascii="Times New Roman" w:eastAsia="Times New Roman" w:hAnsi="Times New Roman" w:cs="Times New Roman"/>
                <w:b/>
                <w:sz w:val="18"/>
                <w:szCs w:val="18"/>
                <w:lang w:val="en-US" w:eastAsia="pt-BR"/>
              </w:rPr>
              <w:t>Volatility</w:t>
            </w:r>
          </w:p>
        </w:tc>
      </w:tr>
      <w:tr>
        <w:tc>
          <w:tcPr>
            <w:tcW w:type="dxa" w:w="3638"/>
          </w:tcPr>
          <w:p>
            <w:pPr>
              <w:spacing w:after="0" w:line="240" w:lineRule="auto"/>
              <w:jc w:val="left"/>
            </w:pPr>
            <w:r>
              <w:rPr>
                <w:rFonts w:ascii="Times New Roman" w:eastAsia="Times New Roman" w:hAnsi="Times New Roman" w:cs="Times New Roman"/>
                <w:sz w:val="18"/>
                <w:szCs w:val="18"/>
                <w:lang w:val="en-US" w:eastAsia="pt-BR"/>
              </w:rPr>
              <w:t>Reliability of loop input</w:t>
            </w:r>
          </w:p>
        </w:tc>
        <w:tc>
          <w:tcPr>
            <w:tcW w:type="dxa" w:w="3638"/>
          </w:tcPr>
          <w:p>
            <w:pPr>
              <w:spacing w:after="0" w:line="240" w:lineRule="auto"/>
              <w:jc w:val="center"/>
            </w:pPr>
            <w:r>
              <w:rPr>
                <w:rFonts w:ascii="Times New Roman" w:eastAsia="Times New Roman" w:hAnsi="Times New Roman" w:cs="Times New Roman"/>
                <w:sz w:val="18"/>
                <w:szCs w:val="18"/>
                <w:lang w:val="en-US" w:eastAsia="pt-BR"/>
              </w:rPr>
              <w:t>0.387</w:t>
            </w:r>
          </w:p>
        </w:tc>
        <w:tc>
          <w:tcPr>
            <w:tcW w:type="dxa" w:w="3638"/>
          </w:tcPr>
          <w:p>
            <w:pPr>
              <w:spacing w:after="0" w:line="240" w:lineRule="auto"/>
              <w:jc w:val="center"/>
            </w:pPr>
            <w:r>
              <w:rPr>
                <w:rFonts w:ascii="Times New Roman" w:eastAsia="Times New Roman" w:hAnsi="Times New Roman" w:cs="Times New Roman"/>
                <w:sz w:val="18"/>
                <w:szCs w:val="18"/>
                <w:lang w:val="en-US" w:eastAsia="pt-BR"/>
              </w:rPr>
              <w:t>0.387</w:t>
            </w:r>
          </w:p>
        </w:tc>
      </w:tr>
      <w:tr>
        <w:tc>
          <w:tcPr>
            <w:tcW w:type="dxa" w:w="3638"/>
          </w:tcPr>
          <w:p>
            <w:pPr>
              <w:spacing w:after="0" w:line="240" w:lineRule="auto"/>
              <w:jc w:val="left"/>
            </w:pPr>
            <w:r>
              <w:rPr>
                <w:rFonts w:ascii="Times New Roman" w:eastAsia="Times New Roman" w:hAnsi="Times New Roman" w:cs="Times New Roman"/>
                <w:sz w:val="18"/>
                <w:szCs w:val="18"/>
                <w:lang w:val="en-US" w:eastAsia="pt-BR"/>
              </w:rPr>
              <w:t>Input power tr R</w:t>
            </w:r>
          </w:p>
        </w:tc>
        <w:tc>
          <w:tcPr>
            <w:tcW w:type="dxa" w:w="3638"/>
          </w:tcPr>
          <w:p>
            <w:pPr>
              <w:spacing w:after="0" w:line="240" w:lineRule="auto"/>
              <w:jc w:val="center"/>
            </w:pPr>
            <w:r>
              <w:rPr>
                <w:rFonts w:ascii="Times New Roman" w:eastAsia="Times New Roman" w:hAnsi="Times New Roman" w:cs="Times New Roman"/>
                <w:sz w:val="18"/>
                <w:szCs w:val="18"/>
                <w:lang w:val="en-US" w:eastAsia="pt-BR"/>
              </w:rPr>
              <w:t>4.468</w:t>
            </w:r>
          </w:p>
        </w:tc>
        <w:tc>
          <w:tcPr>
            <w:tcW w:type="dxa" w:w="3638"/>
          </w:tcPr>
          <w:p>
            <w:pPr>
              <w:spacing w:after="0" w:line="240" w:lineRule="auto"/>
              <w:jc w:val="center"/>
            </w:pPr>
            <w:r>
              <w:rPr>
                <w:rFonts w:ascii="Times New Roman" w:eastAsia="Times New Roman" w:hAnsi="Times New Roman" w:cs="Times New Roman"/>
                <w:sz w:val="18"/>
                <w:szCs w:val="18"/>
                <w:lang w:val="en-US" w:eastAsia="pt-BR"/>
              </w:rPr>
              <w:t>4.468</w:t>
            </w:r>
          </w:p>
        </w:tc>
      </w:tr>
      <w:tr>
        <w:tc>
          <w:tcPr>
            <w:tcW w:type="dxa" w:w="3638"/>
          </w:tcPr>
          <w:p>
            <w:pPr>
              <w:spacing w:after="0" w:line="240" w:lineRule="auto"/>
              <w:jc w:val="left"/>
            </w:pPr>
            <w:r>
              <w:rPr>
                <w:rFonts w:ascii="Times New Roman" w:eastAsia="Times New Roman" w:hAnsi="Times New Roman" w:cs="Times New Roman"/>
                <w:sz w:val="18"/>
                <w:szCs w:val="18"/>
                <w:lang w:val="en-US" w:eastAsia="pt-BR"/>
              </w:rPr>
              <w:t>Stability bound</w:t>
            </w:r>
          </w:p>
        </w:tc>
        <w:tc>
          <w:tcPr>
            <w:tcW w:type="dxa" w:w="3638"/>
          </w:tcPr>
          <w:p>
            <w:pPr>
              <w:spacing w:after="0" w:line="240" w:lineRule="auto"/>
              <w:jc w:val="center"/>
            </w:pPr>
            <w:r>
              <w:rPr>
                <w:rFonts w:ascii="Times New Roman" w:eastAsia="Times New Roman" w:hAnsi="Times New Roman" w:cs="Times New Roman"/>
                <w:sz w:val="18"/>
                <w:szCs w:val="18"/>
                <w:lang w:val="en-US" w:eastAsia="pt-BR"/>
              </w:rPr>
              <w:t>0.4476</w:t>
            </w:r>
          </w:p>
        </w:tc>
        <w:tc>
          <w:tcPr>
            <w:tcW w:type="dxa" w:w="3638"/>
          </w:tcPr>
          <w:p>
            <w:pPr>
              <w:spacing w:after="0" w:line="240" w:lineRule="auto"/>
              <w:jc w:val="center"/>
            </w:pPr>
            <w:r>
              <w:rPr>
                <w:rFonts w:ascii="Times New Roman" w:eastAsia="Times New Roman" w:hAnsi="Times New Roman" w:cs="Times New Roman"/>
                <w:sz w:val="18"/>
                <w:szCs w:val="18"/>
                <w:lang w:val="en-US" w:eastAsia="pt-BR"/>
              </w:rPr>
              <w:t>0.4476</w:t>
            </w:r>
          </w:p>
        </w:tc>
      </w:tr>
      <w:tr>
        <w:tc>
          <w:tcPr>
            <w:tcW w:type="dxa" w:w="3638"/>
          </w:tcPr>
          <w:p>
            <w:pPr>
              <w:spacing w:after="0" w:line="240" w:lineRule="auto"/>
              <w:jc w:val="left"/>
            </w:pPr>
            <w:r>
              <w:rPr>
                <w:rFonts w:ascii="Times New Roman" w:eastAsia="Times New Roman" w:hAnsi="Times New Roman" w:cs="Times New Roman"/>
                <w:sz w:val="18"/>
                <w:szCs w:val="18"/>
                <w:lang w:val="en-US" w:eastAsia="pt-BR"/>
              </w:rPr>
              <w:t>Predicted gain</w:t>
            </w:r>
          </w:p>
        </w:tc>
        <w:tc>
          <w:tcPr>
            <w:tcW w:type="dxa" w:w="3638"/>
          </w:tcPr>
          <w:p>
            <w:pPr>
              <w:spacing w:after="0" w:line="240" w:lineRule="auto"/>
              <w:jc w:val="center"/>
            </w:pPr>
            <w:r>
              <w:rPr>
                <w:rFonts w:ascii="Times New Roman" w:eastAsia="Times New Roman" w:hAnsi="Times New Roman" w:cs="Times New Roman"/>
                <w:sz w:val="18"/>
                <w:szCs w:val="18"/>
                <w:lang w:val="en-US" w:eastAsia="pt-BR"/>
              </w:rPr>
              <w:t>7.2e-05</w:t>
            </w:r>
          </w:p>
        </w:tc>
        <w:tc>
          <w:tcPr>
            <w:tcW w:type="dxa" w:w="3638"/>
          </w:tcPr>
          <w:p>
            <w:pPr>
              <w:spacing w:after="0" w:line="240" w:lineRule="auto"/>
              <w:jc w:val="center"/>
            </w:pPr>
            <w:r>
              <w:rPr>
                <w:rFonts w:ascii="Times New Roman" w:eastAsia="Times New Roman" w:hAnsi="Times New Roman" w:cs="Times New Roman"/>
                <w:sz w:val="18"/>
                <w:szCs w:val="18"/>
                <w:lang w:val="en-US" w:eastAsia="pt-BR"/>
              </w:rPr>
              <w:t>8.2e-05</w:t>
            </w:r>
          </w:p>
        </w:tc>
      </w:tr>
      <w:tr>
        <w:tc>
          <w:tcPr>
            <w:tcW w:type="dxa" w:w="3638"/>
          </w:tcPr>
          <w:p>
            <w:pPr>
              <w:spacing w:after="0" w:line="240" w:lineRule="auto"/>
              <w:jc w:val="left"/>
            </w:pPr>
            <w:r>
              <w:rPr>
                <w:rFonts w:ascii="Times New Roman" w:eastAsia="Times New Roman" w:hAnsi="Times New Roman" w:cs="Times New Roman"/>
                <w:sz w:val="18"/>
                <w:szCs w:val="18"/>
                <w:lang w:val="en-US" w:eastAsia="pt-BR"/>
              </w:rPr>
              <w:t>Empirical best gain</w:t>
            </w:r>
          </w:p>
        </w:tc>
        <w:tc>
          <w:tcPr>
            <w:tcW w:type="dxa" w:w="3638"/>
          </w:tcPr>
          <w:p>
            <w:pPr>
              <w:spacing w:after="0" w:line="240" w:lineRule="auto"/>
              <w:jc w:val="center"/>
            </w:pPr>
            <w:r>
              <w:rPr>
                <w:rFonts w:ascii="Times New Roman" w:eastAsia="Times New Roman" w:hAnsi="Times New Roman" w:cs="Times New Roman"/>
                <w:sz w:val="18"/>
                <w:szCs w:val="18"/>
                <w:lang w:val="en-US" w:eastAsia="pt-BR"/>
              </w:rPr>
              <w:t>4.5e-05</w:t>
            </w:r>
          </w:p>
        </w:tc>
        <w:tc>
          <w:tcPr>
            <w:tcW w:type="dxa" w:w="3638"/>
          </w:tcPr>
          <w:p>
            <w:pPr>
              <w:spacing w:after="0" w:line="240" w:lineRule="auto"/>
              <w:jc w:val="center"/>
            </w:pPr>
            <w:r>
              <w:rPr>
                <w:rFonts w:ascii="Times New Roman" w:eastAsia="Times New Roman" w:hAnsi="Times New Roman" w:cs="Times New Roman"/>
                <w:sz w:val="18"/>
                <w:szCs w:val="18"/>
                <w:lang w:val="en-US" w:eastAsia="pt-BR"/>
              </w:rPr>
              <w:t>0.00041</w:t>
            </w:r>
          </w:p>
        </w:tc>
      </w:tr>
      <w:tr>
        <w:tc>
          <w:tcPr>
            <w:tcW w:type="dxa" w:w="3638"/>
          </w:tcPr>
          <w:p>
            <w:pPr>
              <w:spacing w:after="0" w:line="240" w:lineRule="auto"/>
              <w:jc w:val="left"/>
            </w:pPr>
            <w:r>
              <w:rPr>
                <w:rFonts w:ascii="Times New Roman" w:eastAsia="Times New Roman" w:hAnsi="Times New Roman" w:cs="Times New Roman"/>
                <w:sz w:val="18"/>
                <w:szCs w:val="18"/>
                <w:lang w:val="en-US" w:eastAsia="pt-BR"/>
              </w:rPr>
              <w:t>IC, open loop</w:t>
            </w:r>
          </w:p>
        </w:tc>
        <w:tc>
          <w:tcPr>
            <w:tcW w:type="dxa" w:w="3638"/>
          </w:tcPr>
          <w:p>
            <w:pPr>
              <w:spacing w:after="0" w:line="240" w:lineRule="auto"/>
              <w:jc w:val="center"/>
            </w:pPr>
            <w:r>
              <w:rPr>
                <w:rFonts w:ascii="Times New Roman" w:eastAsia="Times New Roman" w:hAnsi="Times New Roman" w:cs="Times New Roman"/>
                <w:sz w:val="18"/>
                <w:szCs w:val="18"/>
                <w:lang w:val="en-US" w:eastAsia="pt-BR"/>
              </w:rPr>
              <w:t>0.0108</w:t>
            </w:r>
          </w:p>
        </w:tc>
        <w:tc>
          <w:tcPr>
            <w:tcW w:type="dxa" w:w="3638"/>
          </w:tcPr>
          <w:p>
            <w:pPr>
              <w:spacing w:after="0" w:line="240" w:lineRule="auto"/>
              <w:jc w:val="center"/>
            </w:pPr>
            <w:r>
              <w:rPr>
                <w:rFonts w:ascii="Times New Roman" w:eastAsia="Times New Roman" w:hAnsi="Times New Roman" w:cs="Times New Roman"/>
                <w:sz w:val="18"/>
                <w:szCs w:val="18"/>
                <w:lang w:val="en-US" w:eastAsia="pt-BR"/>
              </w:rPr>
              <w:t>0.0313</w:t>
            </w:r>
          </w:p>
        </w:tc>
      </w:tr>
      <w:tr>
        <w:tc>
          <w:tcPr>
            <w:tcW w:type="dxa" w:w="3638"/>
          </w:tcPr>
          <w:p>
            <w:pPr>
              <w:spacing w:after="0" w:line="240" w:lineRule="auto"/>
              <w:jc w:val="left"/>
            </w:pPr>
            <w:r>
              <w:rPr>
                <w:rFonts w:ascii="Times New Roman" w:eastAsia="Times New Roman" w:hAnsi="Times New Roman" w:cs="Times New Roman"/>
                <w:sz w:val="18"/>
                <w:szCs w:val="18"/>
                <w:lang w:val="en-US" w:eastAsia="pt-BR"/>
              </w:rPr>
              <w:t>IC, loop at predicted gain</w:t>
            </w:r>
          </w:p>
        </w:tc>
        <w:tc>
          <w:tcPr>
            <w:tcW w:type="dxa" w:w="3638"/>
          </w:tcPr>
          <w:p>
            <w:pPr>
              <w:spacing w:after="0" w:line="240" w:lineRule="auto"/>
              <w:jc w:val="center"/>
            </w:pPr>
            <w:r>
              <w:rPr>
                <w:rFonts w:ascii="Times New Roman" w:eastAsia="Times New Roman" w:hAnsi="Times New Roman" w:cs="Times New Roman"/>
                <w:sz w:val="18"/>
                <w:szCs w:val="18"/>
                <w:lang w:val="en-US" w:eastAsia="pt-BR"/>
              </w:rPr>
              <w:t>-0.0005</w:t>
            </w:r>
          </w:p>
        </w:tc>
        <w:tc>
          <w:tcPr>
            <w:tcW w:type="dxa" w:w="3638"/>
          </w:tcPr>
          <w:p>
            <w:pPr>
              <w:spacing w:after="0" w:line="240" w:lineRule="auto"/>
              <w:jc w:val="center"/>
            </w:pPr>
            <w:r>
              <w:rPr>
                <w:rFonts w:ascii="Times New Roman" w:eastAsia="Times New Roman" w:hAnsi="Times New Roman" w:cs="Times New Roman"/>
                <w:sz w:val="18"/>
                <w:szCs w:val="18"/>
                <w:lang w:val="en-US" w:eastAsia="pt-BR"/>
              </w:rPr>
              <w:t>0.0645</w:t>
            </w:r>
          </w:p>
        </w:tc>
      </w:tr>
    </w:tbl>
    <w:p>
      <w:pPr>
        <w:shd w:val="clear" w:color="auto" w:fill="FFFFFF"/>
        <w:spacing w:before="20" w:after="0" w:line="240" w:lineRule="auto"/>
        <w:ind w:right="210"/>
        <w:jc w:val="center"/>
      </w:pPr>
      <w:r>
        <w:rPr>
          <w:rFonts w:ascii="Times New Roman" w:eastAsia="Times New Roman" w:hAnsi="Times New Roman" w:cs="Times New Roman"/>
          <w:sz w:val="20"/>
          <w:szCs w:val="20"/>
          <w:lang w:val="en-US" w:eastAsia="pt-BR"/>
        </w:rPr>
        <w:t>Source: Authors, (2026).</w:t>
      </w:r>
    </w:p>
    <w:p>
      <w:pPr>
        <w:spacing w:after="0" w:line="240" w:lineRule="auto"/>
        <w:ind w:firstLine="567"/>
        <w:jc w:val="both"/>
      </w:pPr>
      <w:r>
        <w:rPr>
          <w:rFonts w:ascii="Times New Roman" w:eastAsia="Times New Roman" w:hAnsi="Times New Roman" w:cs="Times New Roman"/>
          <w:color w:val="222222"/>
          <w:sz w:val="20"/>
          <w:szCs w:val="20"/>
          <w:lang w:val="en-US" w:eastAsia="pt-BR"/>
        </w:rPr>
        <w:t>The volatility loop is the central quantitative result. At the gain computed in advance from training quantities, the loop raises the out-of-sample coefficient from 0.0313 to 0.0645, above every static filter in Table 3 including the window that happens to win on the test data (0.0439). Nothing in that comparison touches the test window during design: the kernel, the penalty, the scale and the gain are all fixed before 2017. Adaptation therefore recovers more than the identification lost to drift, and it does so at a gain that the noise-aware design rule locates inside the flat region of Figure 6 rather than by search. The return loop tells the complementary story: the predicted gain is small because the measured drift of the return kernel is small, and running the loop adds misadjustment noise without a drift deficit to repay it, so the open loop is better. The design rule anticipates this: when tr Q is negligible the optimal gain collapses towards zero and the loop should be switched off. A rule that knows when not to adapt is as much a part of loop engineering as the gain itself.</w:t>
      </w:r>
    </w:p>
    <w:p>
      <w:pPr>
        <w:spacing w:after="0" w:line="240" w:lineRule="auto"/>
        <w:ind w:firstLine="567"/>
        <w:jc w:val="both"/>
      </w:pPr>
      <w:r>
        <w:rPr>
          <w:rFonts w:ascii="Times New Roman" w:eastAsia="Times New Roman" w:hAnsi="Times New Roman" w:cs="Times New Roman"/>
          <w:color w:val="222222"/>
          <w:sz w:val="20"/>
          <w:szCs w:val="20"/>
          <w:lang w:val="en-US" w:eastAsia="pt-BR"/>
        </w:rPr>
        <w:t>Figure 6 plots the held-out error against the gain. The error was flat over a wide range of small gains and rose sharply as the stability bound was approached, which is the behaviour the mean-square analysis predicts, and the predicted gain fell inside the flat region rather than on the divergent side of it.</w:t>
      </w:r>
    </w:p>
    <w:p>
      <w:pPr>
        <w:spacing w:after="0" w:line="240" w:lineRule="auto"/>
      </w:pPr>
    </w:p>
    <w:p>
      <w:pPr>
        <w:spacing w:after="0" w:line="240" w:lineRule="auto"/>
        <w:ind w:right="212"/>
        <w:jc w:val="center"/>
      </w:pPr>
      <w:r>
        <w:rPr>
          <w:rFonts w:ascii="Times New Roman" w:hAnsi="Times New Roman"/>
          <w:noProof/>
          <w:sz w:val="20"/>
          <w:szCs w:val="20"/>
        </w:rPr>
        <w:drawing>
          <wp:inline xmlns:a="http://schemas.openxmlformats.org/drawingml/2006/main" xmlns:pic="http://schemas.openxmlformats.org/drawingml/2006/picture">
            <wp:extent cx="3657600" cy="2557707"/>
            <wp:docPr id="24" name="Picture 24"/>
            <wp:cNvGraphicFramePr>
              <a:graphicFrameLocks noChangeAspect="1"/>
            </wp:cNvGraphicFramePr>
            <a:graphic>
              <a:graphicData uri="http://schemas.openxmlformats.org/drawingml/2006/picture">
                <pic:pic>
                  <pic:nvPicPr>
                    <pic:cNvPr id="0" name="fig5_loop.png"/>
                    <pic:cNvPicPr/>
                  </pic:nvPicPr>
                  <pic:blipFill>
                    <a:blip r:embed="rId24"/>
                    <a:stretch>
                      <a:fillRect/>
                    </a:stretch>
                  </pic:blipFill>
                  <pic:spPr>
                    <a:xfrm>
                      <a:off x="0" y="0"/>
                      <a:ext cx="3657600" cy="2557707"/>
                    </a:xfrm>
                    <a:prstGeom prst="rect"/>
                  </pic:spPr>
                </pic:pic>
              </a:graphicData>
            </a:graphic>
          </wp:inline>
        </w:drawing>
      </w:r>
    </w:p>
    <w:p>
      <w:pPr>
        <w:shd w:val="clear" w:color="auto" w:fill="FFFFFF"/>
        <w:spacing w:after="0" w:line="240" w:lineRule="auto"/>
        <w:ind w:right="212"/>
        <w:jc w:val="center"/>
      </w:pPr>
      <w:r>
        <w:rPr>
          <w:rFonts w:ascii="Times New Roman" w:eastAsia="Times New Roman" w:hAnsi="Times New Roman" w:cs="Times New Roman"/>
          <w:sz w:val="20"/>
          <w:szCs w:val="20"/>
          <w:lang w:val="en-US" w:eastAsia="pt-BR"/>
        </w:rPr>
        <w:t>Figure 6: Out-of-sample error against loop gain. The predicted gain and the mean-square stability bound are marked; the bound is the one that accounts for scorer noise.</w:t>
      </w:r>
    </w:p>
    <w:p>
      <w:pPr>
        <w:shd w:val="clear" w:color="auto" w:fill="FFFFFF"/>
        <w:spacing w:after="0" w:line="240" w:lineRule="auto"/>
        <w:ind w:right="212"/>
        <w:jc w:val="center"/>
      </w:pPr>
      <w:r>
        <w:rPr>
          <w:rFonts w:ascii="Times New Roman" w:eastAsia="Times New Roman" w:hAnsi="Times New Roman" w:cs="Times New Roman"/>
          <w:sz w:val="20"/>
          <w:szCs w:val="20"/>
          <w:lang w:val="en-US" w:eastAsia="pt-BR"/>
        </w:rPr>
        <w:t>Source: Authors, (2026).</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IV.5 ROBUSTNESS</w:t>
      </w:r>
    </w:p>
    <w:p>
      <w:pPr>
        <w:spacing w:after="0" w:line="240" w:lineRule="auto"/>
        <w:ind w:firstLine="567"/>
        <w:jc w:val="both"/>
      </w:pPr>
      <w:r>
        <w:rPr>
          <w:rFonts w:ascii="Times New Roman" w:eastAsia="Times New Roman" w:hAnsi="Times New Roman" w:cs="Times New Roman"/>
          <w:color w:val="222222"/>
          <w:sz w:val="20"/>
          <w:szCs w:val="20"/>
          <w:lang w:val="en-US" w:eastAsia="pt-BR"/>
        </w:rPr>
        <w:t>With four scorers the one-factor model is over-identified, so each reliability can be estimated from more than one triple. The spread of those estimates bounds how far the assumption of uncorrelated scorer errors can be trusted: transformer 0.21 to 0.41; finance lexicon 0.29 to 0.57; rule-based valence 0.34 to 0.66. The estimates are of the same order but not identical, which is expected because the two lexicon scorers share a bag-of-words construction and therefore share part of their error. The reliability index rises monotonically with news intensity, from 0.381 for sessions carrying a single headline to 0.422 for the busiest sessions, which is the behaviour implied by averaging independent scorer errors within a session and is not imposed anywhere in the estimator. At the five-session horizon the volatility response gives 0.0493 for the identified filter against 0.0506 for the training-selected window, so the ordering found at one session persists as the horizon lengthens. At the five-session horizon the return response gives 0.0019 for the identified filter against -0.0069 for the training-selected window, so the ordering found at one session reverses as the horizon lengthens. Unlike the observed autocovariance, the cross-scorer estimate of the latent autocovariance is not positive definite by construction, so its spectrum is a direct check on the identifying assumption. Its eigenvalues lie in [0.137, 0.182], and it is positive definite, so the deconvolution is well posed. The smoothness penalty selected inside the training window is 0.012 for the corrected kernel and 0.037 for the conventional one; setting it to zero leaves the short-lag structure unchanged and only adds variance at long lags.</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IV.6 DISCUSSION</w:t>
      </w:r>
    </w:p>
    <w:p>
      <w:pPr>
        <w:spacing w:after="0" w:line="240" w:lineRule="auto"/>
        <w:ind w:firstLine="567"/>
        <w:jc w:val="both"/>
      </w:pPr>
      <w:r>
        <w:rPr>
          <w:rFonts w:ascii="Times New Roman" w:eastAsia="Times New Roman" w:hAnsi="Times New Roman" w:cs="Times New Roman"/>
          <w:color w:val="222222"/>
          <w:sz w:val="20"/>
          <w:szCs w:val="20"/>
          <w:lang w:val="en-US" w:eastAsia="pt-BR"/>
        </w:rPr>
        <w:t>Three limitations bound the claims. The universe is restricted to instruments that survived with a continuous price history, so the cross-section is subject to survivorship; the effect on a within-instrument response kernel is second order, but the portfolio figures should be read as gross of that selection and of transaction costs. The identification rests on scorer errors being mutually uncorrelated, which is why a transformer, a finance word list and a rule-based valence model were chosen; two lexica of similar construction would share errors, and the over-identification check is included precisely because that assumption is not free. Finally, the corpus is one vendor's feed for one market, so the numerical kernels should not be transported to other markets without re-identification, even though the procedure itself is market-agnostic.</w:t>
      </w:r>
    </w:p>
    <w:p>
      <w:pPr>
        <w:spacing w:after="0" w:line="240" w:lineRule="auto"/>
        <w:ind w:firstLine="567"/>
        <w:jc w:val="both"/>
      </w:pPr>
      <w:r>
        <w:rPr>
          <w:rFonts w:ascii="Times New Roman" w:eastAsia="Times New Roman" w:hAnsi="Times New Roman" w:cs="Times New Roman"/>
          <w:color w:val="222222"/>
          <w:sz w:val="20"/>
          <w:szCs w:val="20"/>
          <w:lang w:val="en-US" w:eastAsia="pt-BR"/>
        </w:rPr>
        <w:t xml:space="preserve">The computational profile of the method is worth noting, because it determines where it can run. Identification costs one pass over the training panel to accumulate the covariances, of order </w:t>
      </w:r>
      <w:r>
        <w:rPr>
          <w:rFonts w:ascii="Times New Roman" w:eastAsia="Times New Roman" w:hAnsi="Times New Roman" w:cs="Times New Roman"/>
          <w:color w:val="222222"/>
          <w:sz w:val="20"/>
          <w:szCs w:val="20"/>
          <w:lang w:val="en-US" w:eastAsia="pt-BR"/>
          <w:i/>
          <w:iCs/>
        </w:rPr>
        <w:t>NK</w:t>
      </w:r>
      <w:r>
        <w:rPr>
          <w:rFonts w:ascii="Times New Roman" w:eastAsia="Times New Roman" w:hAnsi="Times New Roman" w:cs="Times New Roman"/>
          <w:color w:val="222222"/>
          <w:sz w:val="20"/>
          <w:szCs w:val="20"/>
          <w:lang w:val="en-US" w:eastAsia="pt-BR"/>
          <w:vertAlign w:val="superscript"/>
        </w:rPr>
        <w:t>2</w:t>
      </w:r>
      <w:r>
        <w:rPr>
          <w:rFonts w:ascii="Times New Roman" w:eastAsia="Times New Roman" w:hAnsi="Times New Roman" w:cs="Times New Roman"/>
          <w:color w:val="222222"/>
          <w:sz w:val="20"/>
          <w:szCs w:val="20"/>
          <w:lang w:val="en-US" w:eastAsia="pt-BR"/>
        </w:rPr>
        <w:t xml:space="preserve"> for </w:t>
      </w:r>
      <w:r>
        <w:rPr>
          <w:rFonts w:ascii="Times New Roman" w:eastAsia="Times New Roman" w:hAnsi="Times New Roman" w:cs="Times New Roman"/>
          <w:color w:val="222222"/>
          <w:sz w:val="20"/>
          <w:szCs w:val="20"/>
          <w:lang w:val="en-US" w:eastAsia="pt-BR"/>
          <w:i/>
          <w:iCs/>
        </w:rPr>
        <w:t>N</w:t>
      </w:r>
      <w:r>
        <w:rPr>
          <w:rFonts w:ascii="Times New Roman" w:eastAsia="Times New Roman" w:hAnsi="Times New Roman" w:cs="Times New Roman"/>
          <w:color w:val="222222"/>
          <w:sz w:val="20"/>
          <w:szCs w:val="20"/>
          <w:lang w:val="en-US" w:eastAsia="pt-BR"/>
        </w:rPr>
        <w:t xml:space="preserve"> observations and </w:t>
      </w:r>
      <w:r>
        <w:rPr>
          <w:rFonts w:ascii="Times New Roman" w:eastAsia="Times New Roman" w:hAnsi="Times New Roman" w:cs="Times New Roman"/>
          <w:color w:val="222222"/>
          <w:sz w:val="20"/>
          <w:szCs w:val="20"/>
          <w:lang w:val="en-US" w:eastAsia="pt-BR"/>
          <w:i/>
          <w:iCs/>
        </w:rPr>
        <w:t>K</w:t>
      </w:r>
      <w:r>
        <w:rPr>
          <w:rFonts w:ascii="Times New Roman" w:eastAsia="Times New Roman" w:hAnsi="Times New Roman" w:cs="Times New Roman"/>
          <w:color w:val="222222"/>
          <w:sz w:val="20"/>
          <w:szCs w:val="20"/>
          <w:lang w:val="en-US" w:eastAsia="pt-BR"/>
        </w:rPr>
        <w:t xml:space="preserve"> taps, followed by a </w:t>
      </w:r>
      <w:r>
        <w:rPr>
          <w:rFonts w:ascii="Times New Roman" w:eastAsia="Times New Roman" w:hAnsi="Times New Roman" w:cs="Times New Roman"/>
          <w:color w:val="222222"/>
          <w:sz w:val="20"/>
          <w:szCs w:val="20"/>
          <w:lang w:val="en-US" w:eastAsia="pt-BR"/>
          <w:i/>
          <w:iCs/>
        </w:rPr>
        <w:t>K</w:t>
      </w:r>
      <w:r>
        <w:rPr>
          <w:rFonts w:ascii="Times New Roman" w:eastAsia="Times New Roman" w:hAnsi="Times New Roman" w:cs="Times New Roman"/>
          <w:color w:val="222222"/>
          <w:sz w:val="20"/>
          <w:szCs w:val="20"/>
          <w:lang w:val="en-US" w:eastAsia="pt-BR"/>
        </w:rPr>
        <w:t>x</w:t>
      </w:r>
      <w:r>
        <w:rPr>
          <w:rFonts w:ascii="Times New Roman" w:eastAsia="Times New Roman" w:hAnsi="Times New Roman" w:cs="Times New Roman"/>
          <w:color w:val="222222"/>
          <w:sz w:val="20"/>
          <w:szCs w:val="20"/>
          <w:lang w:val="en-US" w:eastAsia="pt-BR"/>
          <w:i/>
          <w:iCs/>
        </w:rPr>
        <w:t>K</w:t>
      </w:r>
      <w:r>
        <w:rPr>
          <w:rFonts w:ascii="Times New Roman" w:eastAsia="Times New Roman" w:hAnsi="Times New Roman" w:cs="Times New Roman"/>
          <w:color w:val="222222"/>
          <w:sz w:val="20"/>
          <w:szCs w:val="20"/>
          <w:lang w:val="en-US" w:eastAsia="pt-BR"/>
        </w:rPr>
        <w:t xml:space="preserve"> solve; with </w:t>
      </w:r>
      <w:r>
        <w:rPr>
          <w:rFonts w:ascii="Times New Roman" w:eastAsia="Times New Roman" w:hAnsi="Times New Roman" w:cs="Times New Roman"/>
          <w:color w:val="222222"/>
          <w:sz w:val="20"/>
          <w:szCs w:val="20"/>
          <w:lang w:val="en-US" w:eastAsia="pt-BR"/>
          <w:i/>
          <w:iCs/>
        </w:rPr>
        <w:t>K</w:t>
      </w:r>
      <w:r>
        <w:rPr>
          <w:rFonts w:ascii="Times New Roman" w:eastAsia="Times New Roman" w:hAnsi="Times New Roman" w:cs="Times New Roman"/>
          <w:color w:val="222222"/>
          <w:sz w:val="20"/>
          <w:szCs w:val="20"/>
          <w:lang w:val="en-US" w:eastAsia="pt-BR"/>
        </w:rPr>
        <w:t xml:space="preserve"> = 12 both are negligible next to a single epoch of any of the deep architectures cited in Section II.1. The deployed filter is an inner product of length </w:t>
      </w:r>
      <w:r>
        <w:rPr>
          <w:rFonts w:ascii="Times New Roman" w:eastAsia="Times New Roman" w:hAnsi="Times New Roman" w:cs="Times New Roman"/>
          <w:color w:val="222222"/>
          <w:sz w:val="20"/>
          <w:szCs w:val="20"/>
          <w:lang w:val="en-US" w:eastAsia="pt-BR"/>
          <w:i/>
          <w:iCs/>
        </w:rPr>
        <w:t>K</w:t>
      </w:r>
      <w:r>
        <w:rPr>
          <w:rFonts w:ascii="Times New Roman" w:eastAsia="Times New Roman" w:hAnsi="Times New Roman" w:cs="Times New Roman"/>
          <w:color w:val="222222"/>
          <w:sz w:val="20"/>
          <w:szCs w:val="20"/>
          <w:lang w:val="en-US" w:eastAsia="pt-BR"/>
        </w:rPr>
        <w:t xml:space="preserve"> per instrument per session, and each loop update in (10) is of order </w:t>
      </w:r>
      <w:r>
        <w:rPr>
          <w:rFonts w:ascii="Times New Roman" w:eastAsia="Times New Roman" w:hAnsi="Times New Roman" w:cs="Times New Roman"/>
          <w:color w:val="222222"/>
          <w:sz w:val="20"/>
          <w:szCs w:val="20"/>
          <w:lang w:val="en-US" w:eastAsia="pt-BR"/>
          <w:i/>
          <w:iCs/>
        </w:rPr>
        <w:t>K</w:t>
      </w:r>
      <w:r>
        <w:rPr>
          <w:rFonts w:ascii="Times New Roman" w:eastAsia="Times New Roman" w:hAnsi="Times New Roman" w:cs="Times New Roman"/>
          <w:color w:val="222222"/>
          <w:sz w:val="20"/>
          <w:szCs w:val="20"/>
          <w:lang w:val="en-US" w:eastAsia="pt-BR"/>
        </w:rPr>
        <w:t>. The expensive stage is scoring the headlines themselves, which is embarrassingly parallel and is done once per headline, not per model refit. The design therefore adds essentially no cost to an existing sentiment pipeline while replacing its one arbitrary constant.</w:t>
      </w:r>
    </w:p>
    <w:p>
      <w:pPr>
        <w:spacing w:after="0" w:line="240" w:lineRule="auto"/>
        <w:ind w:firstLine="567"/>
        <w:jc w:val="both"/>
      </w:pPr>
      <w:r>
        <w:rPr>
          <w:rFonts w:ascii="Times New Roman" w:eastAsia="Times New Roman" w:hAnsi="Times New Roman" w:cs="Times New Roman"/>
          <w:color w:val="222222"/>
          <w:sz w:val="20"/>
          <w:szCs w:val="20"/>
          <w:lang w:val="en-US" w:eastAsia="pt-BR"/>
        </w:rPr>
        <w:t>Several extensions follow naturally. The one-factor measurement model can be widened to allow a shared error component between scorers of similar construction, at the cost of a fourth independent indicator. The reliability-dependent loop gain suggests a per-instrument schedule, faster for densely covered names and slower for sparse ones, in place of the single global gain tested here. And because the identification machinery never uses the fact that the signal is sentiment, the same construction applies to any feature observed through several imperfect proxies, of which analyst revisions and supply-chain signals are the obvious financial examples.</w:t>
      </w:r>
    </w:p>
    <w:p>
      <w:pPr>
        <w:spacing w:after="0" w:line="240" w:lineRule="auto"/>
      </w:pPr>
    </w:p>
    <w:p>
      <w:pPr>
        <w:spacing w:line="240" w:lineRule="auto"/>
        <w:jc w:val="center"/>
      </w:pPr>
      <w:r>
        <w:rPr>
          <w:rFonts w:ascii="Times New Roman" w:hAnsi="Times New Roman"/>
          <w:b/>
          <w:bCs/>
          <w:color w:val="1F4E79" w:themeColor="accent1" w:themeShade="80"/>
          <w:sz w:val="20"/>
          <w:szCs w:val="20"/>
          <w:lang w:val="en-US" w:eastAsia="pt-BR"/>
        </w:rPr>
        <w:t>V. CONCLUSIONS</w:t>
      </w:r>
    </w:p>
    <w:p>
      <w:pPr>
        <w:spacing w:after="0" w:line="240" w:lineRule="auto"/>
        <w:ind w:firstLine="567"/>
        <w:jc w:val="both"/>
      </w:pPr>
      <w:r>
        <w:rPr>
          <w:rFonts w:ascii="Times New Roman" w:eastAsia="Times New Roman" w:hAnsi="Times New Roman" w:cs="Times New Roman"/>
          <w:color w:val="222222"/>
          <w:sz w:val="20"/>
          <w:szCs w:val="20"/>
          <w:lang w:val="en-US" w:eastAsia="pt-BR"/>
        </w:rPr>
        <w:t>The step that turns a stream of headlines into one number per session has been treated in this paper as a filter to be designed rather than a window to be guessed. Modelling the scorers as independent noisy indicators of one latent sentiment makes the latent autocovariance recoverable from cross-scorer covariance alone, and that single object identifies both the response kernel free of scorer noise and how much of each scorer is noise in the first place. The measured reliabilities are low, which explains why averaging over several sessions has always seemed to help: the width of a good aggregation window reflects the quality of the instrument more than the persistence of the news, which is the hypothesis the study set out to test.</w:t>
      </w:r>
    </w:p>
    <w:p>
      <w:pPr>
        <w:spacing w:after="0" w:line="240" w:lineRule="auto"/>
        <w:ind w:firstLine="567"/>
        <w:jc w:val="both"/>
      </w:pPr>
      <w:r>
        <w:rPr>
          <w:rFonts w:ascii="Times New Roman" w:eastAsia="Times New Roman" w:hAnsi="Times New Roman" w:cs="Times New Roman"/>
          <w:color w:val="222222"/>
          <w:sz w:val="20"/>
          <w:szCs w:val="20"/>
          <w:lang w:val="en-US" w:eastAsia="pt-BR"/>
        </w:rPr>
        <w:t>Two practical consequences follow. The lag profile that practitioners read off a correlogram overstates how long news matters, because it is the response convolved with the autocorrelation of the sentiment series, so windows chosen that way are systematically too long. And when the aggregation filter is adapted online, the noise in the scorer tightens the stable range of the loop gain and slows the best loop, by an amount that can be computed in advance from training data rather than found by search. Applying the same procedure to returns and to realised volatility recovers two clearly different response shapes, short for direction and persistent for magnitude, which supports the view that the aggregation stage should be identified per response rather than inherited as a convention. The identifying assumption is the natural target of further work: relaxing it to allow a shared error component between scorers of similar construction, and re-identifying the kernels on other markets and other feeds, would establish how far the numerical results here travel.</w:t>
      </w:r>
    </w:p>
    <w:p>
      <w:pPr>
        <w:spacing w:after="0" w:line="240" w:lineRule="auto"/>
      </w:pPr>
    </w:p>
    <w:p>
      <w:pPr>
        <w:spacing w:line="240" w:lineRule="auto"/>
        <w:jc w:val="center"/>
      </w:pPr>
      <w:r>
        <w:rPr>
          <w:rFonts w:ascii="Times New Roman" w:hAnsi="Times New Roman"/>
          <w:b/>
          <w:bCs/>
          <w:color w:val="1F4E79" w:themeColor="accent1" w:themeShade="80"/>
          <w:sz w:val="20"/>
          <w:szCs w:val="20"/>
          <w:lang w:val="en-US" w:eastAsia="pt-BR"/>
        </w:rPr>
        <w:t>VI. AUTHOR'S CONTRIBUTION</w:t>
      </w:r>
    </w:p>
    <w:p>
      <w:pPr>
        <w:spacing w:after="0" w:line="240" w:lineRule="auto"/>
        <w:ind w:firstLine="567"/>
        <w:jc w:val="both"/>
      </w:pPr>
      <w:r>
        <w:rPr>
          <w:rFonts w:ascii="Times New Roman" w:eastAsia="Times New Roman" w:hAnsi="Times New Roman" w:cs="Times New Roman"/>
          <w:color w:val="222222"/>
          <w:sz w:val="20"/>
          <w:szCs w:val="20"/>
          <w:lang w:val="en-US" w:eastAsia="pt-BR"/>
          <w:b/>
          <w:bCs/>
        </w:rPr>
        <w:t>Conceptualization:</w:t>
      </w:r>
      <w:r>
        <w:rPr>
          <w:rFonts w:ascii="Times New Roman" w:eastAsia="Times New Roman" w:hAnsi="Times New Roman" w:cs="Times New Roman"/>
          <w:color w:val="222222"/>
          <w:sz w:val="20"/>
          <w:szCs w:val="20"/>
          <w:lang w:val="en-US" w:eastAsia="pt-BR"/>
        </w:rPr>
        <w:t xml:space="preserve"> Anandkumar Pardeshi and Sujata Deshmukh.</w:t>
      </w:r>
    </w:p>
    <w:p>
      <w:pPr>
        <w:spacing w:after="0" w:line="240" w:lineRule="auto"/>
        <w:ind w:firstLine="567"/>
        <w:jc w:val="both"/>
      </w:pPr>
      <w:r>
        <w:rPr>
          <w:rFonts w:ascii="Times New Roman" w:eastAsia="Times New Roman" w:hAnsi="Times New Roman" w:cs="Times New Roman"/>
          <w:color w:val="222222"/>
          <w:sz w:val="20"/>
          <w:szCs w:val="20"/>
          <w:lang w:val="en-US" w:eastAsia="pt-BR"/>
          <w:b/>
          <w:bCs/>
        </w:rPr>
        <w:t>Methodology:</w:t>
      </w:r>
      <w:r>
        <w:rPr>
          <w:rFonts w:ascii="Times New Roman" w:eastAsia="Times New Roman" w:hAnsi="Times New Roman" w:cs="Times New Roman"/>
          <w:color w:val="222222"/>
          <w:sz w:val="20"/>
          <w:szCs w:val="20"/>
          <w:lang w:val="en-US" w:eastAsia="pt-BR"/>
        </w:rPr>
        <w:t xml:space="preserve"> Anandkumar Pardeshi.</w:t>
      </w:r>
    </w:p>
    <w:p>
      <w:pPr>
        <w:spacing w:after="0" w:line="240" w:lineRule="auto"/>
        <w:ind w:firstLine="567"/>
        <w:jc w:val="both"/>
      </w:pPr>
      <w:r>
        <w:rPr>
          <w:rFonts w:ascii="Times New Roman" w:eastAsia="Times New Roman" w:hAnsi="Times New Roman" w:cs="Times New Roman"/>
          <w:color w:val="222222"/>
          <w:sz w:val="20"/>
          <w:szCs w:val="20"/>
          <w:lang w:val="en-US" w:eastAsia="pt-BR"/>
          <w:b/>
          <w:bCs/>
        </w:rPr>
        <w:t>Investigation:</w:t>
      </w:r>
      <w:r>
        <w:rPr>
          <w:rFonts w:ascii="Times New Roman" w:eastAsia="Times New Roman" w:hAnsi="Times New Roman" w:cs="Times New Roman"/>
          <w:color w:val="222222"/>
          <w:sz w:val="20"/>
          <w:szCs w:val="20"/>
          <w:lang w:val="en-US" w:eastAsia="pt-BR"/>
        </w:rPr>
        <w:t xml:space="preserve"> Anandkumar Pardeshi.</w:t>
      </w:r>
    </w:p>
    <w:p>
      <w:pPr>
        <w:spacing w:after="0" w:line="240" w:lineRule="auto"/>
        <w:ind w:firstLine="567"/>
        <w:jc w:val="both"/>
      </w:pPr>
      <w:r>
        <w:rPr>
          <w:rFonts w:ascii="Times New Roman" w:eastAsia="Times New Roman" w:hAnsi="Times New Roman" w:cs="Times New Roman"/>
          <w:color w:val="222222"/>
          <w:sz w:val="20"/>
          <w:szCs w:val="20"/>
          <w:lang w:val="en-US" w:eastAsia="pt-BR"/>
          <w:b/>
          <w:bCs/>
        </w:rPr>
        <w:t>Discussion of results:</w:t>
      </w:r>
      <w:r>
        <w:rPr>
          <w:rFonts w:ascii="Times New Roman" w:eastAsia="Times New Roman" w:hAnsi="Times New Roman" w:cs="Times New Roman"/>
          <w:color w:val="222222"/>
          <w:sz w:val="20"/>
          <w:szCs w:val="20"/>
          <w:lang w:val="en-US" w:eastAsia="pt-BR"/>
        </w:rPr>
        <w:t xml:space="preserve"> Anandkumar Pardeshi and Sujata Deshmukh.</w:t>
      </w:r>
    </w:p>
    <w:p>
      <w:pPr>
        <w:spacing w:after="0" w:line="240" w:lineRule="auto"/>
        <w:ind w:firstLine="567"/>
        <w:jc w:val="both"/>
      </w:pPr>
      <w:r>
        <w:rPr>
          <w:rFonts w:ascii="Times New Roman" w:eastAsia="Times New Roman" w:hAnsi="Times New Roman" w:cs="Times New Roman"/>
          <w:color w:val="222222"/>
          <w:sz w:val="20"/>
          <w:szCs w:val="20"/>
          <w:lang w:val="en-US" w:eastAsia="pt-BR"/>
          <w:b/>
          <w:bCs/>
        </w:rPr>
        <w:t>Writing - Original Draft:</w:t>
      </w:r>
      <w:r>
        <w:rPr>
          <w:rFonts w:ascii="Times New Roman" w:eastAsia="Times New Roman" w:hAnsi="Times New Roman" w:cs="Times New Roman"/>
          <w:color w:val="222222"/>
          <w:sz w:val="20"/>
          <w:szCs w:val="20"/>
          <w:lang w:val="en-US" w:eastAsia="pt-BR"/>
        </w:rPr>
        <w:t xml:space="preserve"> Anandkumar Pardeshi.</w:t>
      </w:r>
    </w:p>
    <w:p>
      <w:pPr>
        <w:spacing w:after="0" w:line="240" w:lineRule="auto"/>
        <w:ind w:firstLine="567"/>
        <w:jc w:val="both"/>
      </w:pPr>
      <w:r>
        <w:rPr>
          <w:rFonts w:ascii="Times New Roman" w:eastAsia="Times New Roman" w:hAnsi="Times New Roman" w:cs="Times New Roman"/>
          <w:color w:val="222222"/>
          <w:sz w:val="20"/>
          <w:szCs w:val="20"/>
          <w:lang w:val="en-US" w:eastAsia="pt-BR"/>
          <w:b/>
          <w:bCs/>
        </w:rPr>
        <w:t>Writing - Review and Editing:</w:t>
      </w:r>
      <w:r>
        <w:rPr>
          <w:rFonts w:ascii="Times New Roman" w:eastAsia="Times New Roman" w:hAnsi="Times New Roman" w:cs="Times New Roman"/>
          <w:color w:val="222222"/>
          <w:sz w:val="20"/>
          <w:szCs w:val="20"/>
          <w:lang w:val="en-US" w:eastAsia="pt-BR"/>
        </w:rPr>
        <w:t xml:space="preserve"> Anandkumar Pardeshi and Sujata Deshmukh.</w:t>
      </w:r>
    </w:p>
    <w:p>
      <w:pPr>
        <w:spacing w:after="0" w:line="240" w:lineRule="auto"/>
        <w:ind w:firstLine="567"/>
        <w:jc w:val="both"/>
      </w:pPr>
      <w:r>
        <w:rPr>
          <w:rFonts w:ascii="Times New Roman" w:eastAsia="Times New Roman" w:hAnsi="Times New Roman" w:cs="Times New Roman"/>
          <w:color w:val="222222"/>
          <w:sz w:val="20"/>
          <w:szCs w:val="20"/>
          <w:lang w:val="en-US" w:eastAsia="pt-BR"/>
          <w:b/>
          <w:bCs/>
        </w:rPr>
        <w:t>Resources:</w:t>
      </w:r>
      <w:r>
        <w:rPr>
          <w:rFonts w:ascii="Times New Roman" w:eastAsia="Times New Roman" w:hAnsi="Times New Roman" w:cs="Times New Roman"/>
          <w:color w:val="222222"/>
          <w:sz w:val="20"/>
          <w:szCs w:val="20"/>
          <w:lang w:val="en-US" w:eastAsia="pt-BR"/>
        </w:rPr>
        <w:t xml:space="preserve"> Sujata Deshmukh.</w:t>
      </w:r>
    </w:p>
    <w:p>
      <w:pPr>
        <w:spacing w:after="0" w:line="240" w:lineRule="auto"/>
        <w:ind w:firstLine="567"/>
        <w:jc w:val="both"/>
      </w:pPr>
      <w:r>
        <w:rPr>
          <w:rFonts w:ascii="Times New Roman" w:eastAsia="Times New Roman" w:hAnsi="Times New Roman" w:cs="Times New Roman"/>
          <w:color w:val="222222"/>
          <w:sz w:val="20"/>
          <w:szCs w:val="20"/>
          <w:lang w:val="en-US" w:eastAsia="pt-BR"/>
          <w:b/>
          <w:bCs/>
        </w:rPr>
        <w:t>Supervision:</w:t>
      </w:r>
      <w:r>
        <w:rPr>
          <w:rFonts w:ascii="Times New Roman" w:eastAsia="Times New Roman" w:hAnsi="Times New Roman" w:cs="Times New Roman"/>
          <w:color w:val="222222"/>
          <w:sz w:val="20"/>
          <w:szCs w:val="20"/>
          <w:lang w:val="en-US" w:eastAsia="pt-BR"/>
        </w:rPr>
        <w:t xml:space="preserve"> Sujata Deshmukh.</w:t>
      </w:r>
    </w:p>
    <w:p>
      <w:pPr>
        <w:spacing w:after="0" w:line="240" w:lineRule="auto"/>
        <w:ind w:firstLine="567"/>
        <w:jc w:val="both"/>
      </w:pPr>
      <w:r>
        <w:rPr>
          <w:rFonts w:ascii="Times New Roman" w:eastAsia="Times New Roman" w:hAnsi="Times New Roman" w:cs="Times New Roman"/>
          <w:color w:val="222222"/>
          <w:sz w:val="20"/>
          <w:szCs w:val="20"/>
          <w:lang w:val="en-US" w:eastAsia="pt-BR"/>
          <w:b/>
          <w:bCs/>
        </w:rPr>
        <w:t>Approval of the final text:</w:t>
      </w:r>
      <w:r>
        <w:rPr>
          <w:rFonts w:ascii="Times New Roman" w:eastAsia="Times New Roman" w:hAnsi="Times New Roman" w:cs="Times New Roman"/>
          <w:color w:val="222222"/>
          <w:sz w:val="20"/>
          <w:szCs w:val="20"/>
          <w:lang w:val="en-US" w:eastAsia="pt-BR"/>
        </w:rPr>
        <w:t xml:space="preserve"> Anandkumar Pardeshi and Sujata Deshmukh.</w:t>
      </w:r>
    </w:p>
    <w:p>
      <w:pPr>
        <w:spacing w:after="0" w:line="240" w:lineRule="auto"/>
      </w:pPr>
    </w:p>
    <w:p>
      <w:pPr>
        <w:spacing w:line="240" w:lineRule="auto"/>
        <w:jc w:val="center"/>
      </w:pPr>
      <w:r>
        <w:rPr>
          <w:rFonts w:ascii="Times New Roman" w:hAnsi="Times New Roman"/>
          <w:b/>
          <w:bCs/>
          <w:color w:val="1F4E79" w:themeColor="accent1" w:themeShade="80"/>
          <w:sz w:val="20"/>
          <w:szCs w:val="20"/>
          <w:lang w:val="en-US" w:eastAsia="pt-BR"/>
        </w:rPr>
        <w:t>VII. ACKNOWLEDGMENTS</w:t>
      </w:r>
    </w:p>
    <w:p>
      <w:pPr>
        <w:spacing w:after="0" w:line="240" w:lineRule="auto"/>
        <w:ind w:firstLine="567"/>
        <w:jc w:val="both"/>
      </w:pPr>
      <w:r>
        <w:rPr>
          <w:rFonts w:ascii="Times New Roman" w:eastAsia="Times New Roman" w:hAnsi="Times New Roman" w:cs="Times New Roman"/>
          <w:color w:val="222222"/>
          <w:sz w:val="20"/>
          <w:szCs w:val="20"/>
          <w:lang w:val="en-US" w:eastAsia="pt-BR"/>
        </w:rPr>
        <w:t>This study used only publicly available data. The authors thank the maintainers of the FNSPID financial news corpus and of the open-source sentiment resources used as independent scorers, whose public release made the identification exercise reported here possible. No external funding was received for this work.</w:t>
      </w:r>
    </w:p>
    <w:p>
      <w:pPr>
        <w:spacing w:after="0" w:line="240" w:lineRule="auto"/>
      </w:pPr>
    </w:p>
    <w:p>
      <w:pPr>
        <w:spacing w:line="240" w:lineRule="auto"/>
        <w:jc w:val="center"/>
      </w:pPr>
      <w:r>
        <w:rPr>
          <w:rFonts w:ascii="Times New Roman" w:hAnsi="Times New Roman"/>
          <w:b/>
          <w:bCs/>
          <w:color w:val="1F4E79" w:themeColor="accent1" w:themeShade="80"/>
          <w:sz w:val="20"/>
          <w:szCs w:val="20"/>
          <w:lang w:val="en-US" w:eastAsia="pt-BR"/>
        </w:rPr>
        <w:t>VIII. REFERENCES</w:t>
      </w:r>
    </w:p>
    <w:p>
      <w:pPr>
        <w:tabs>
          <w:tab w:val="left" w:pos="567"/>
        </w:tabs>
        <w:spacing w:after="0" w:line="240" w:lineRule="auto"/>
        <w:jc w:val="both"/>
      </w:pPr>
      <w:r>
        <w:rPr>
          <w:rFonts w:ascii="Times New Roman" w:hAnsi="Times New Roman"/>
          <w:bCs/>
          <w:iCs/>
          <w:color w:val="000000"/>
          <w:sz w:val="16"/>
          <w:szCs w:val="16"/>
          <w:lang w:val="en-US"/>
        </w:rPr>
        <w:t>[1] P. C. Tetlock, "Giving content to investor sentiment: the role of media in the stock market," The Journal of Finance, vol. 62, no. 3, pp. 1139-1168, 2007. doi:10.1111/j.1540-6261.2007.01232.x</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[2] P. C. Tetlock, M. Saar-Tsechansky, S. Macskassy, "More than words: quantifying language to measure firms' fundamentals," The Journal of Finance, vol. 63, no. 3, pp. 1437-1467, 2008. doi:10.1111/j.1540-6261.2008.01362.x</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[3] W. S. Chan, "Stock price reaction to news and no-news: drift and reversal after headlines," Journal of Financial Economics, vol. 70, no. 2, pp. 223-260, 2003. doi:10.1016/S0304-405X(03)00146-6</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[4] A. T. Haryono, R. Sarno, K. R. Sungkono, "Transformer-gated recurrent unit method for predicting stock price based on news sentiments and technical indicators," IEEE Access, vol. 11, pp. 77132-77146, 2023. doi:10.1109/ACCESS.2023.3298445</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[5] G. Mu, N. Gao, Y. Wang, L. Dai, "A stock price prediction model based on investor sentiment and optimized deep learning," IEEE Access, vol. 11, pp. 51353-51367, 2023. doi:10.1109/ACCESS.2023.3278790</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[6] J. Choi, S. Yoo, X. Zhou, Y. Kim, "Hybrid information mixing module for stock movement prediction," IEEE Access, vol. 11, pp. 28781-28790, 2023. doi:10.1109/ACCESS.2023.3258695</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[7] T. T. Ho, Y. Huang, "Stock price movement prediction using sentiment analysis and CandleStick chart representation," Sensors, vol. 21, no. 23, 7957, 2021. doi:10.3390/s21237957</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[8] A. Todd, J. Bowden, Y. Moshfeghi, "Text-based sentiment analysis in finance: synthesising the existing literature and exploring future directions," Intelligent Systems in Accounting, Finance and Management, vol. 31, no. 1, e1549, 2024. doi:10.1002/isaf.1549</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[9] T. Loughran, B. McDonald, "Textual analysis in finance," Annual Review of Financial Economics, vol. 12, no. 1, pp. 357-375, 2020. doi:10.1146/annurev-financial-012820-032249</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[10] F. Omojowo, "Comparative evaluation of lexicon-based and transformer-based sentiment analysis tools," Discover Computing, vol. 29, no. 1, 181, 2026. doi:10.1007/s10791-026-09967-1</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[11] S. Consoli, L. Barbaglia, S. Manzan, "Fine-grained, aspect-based sentiment analysis on economic and financial lexicon," Knowledge-Based Systems, vol. 247, 108781, 2022. doi:10.1016/j.knosys.2022.108781</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[12] W. Lin, L. Liao, "Lexicon-based prompt for financial dimensional sentiment analysis," Expert Systems with Applications, vol. 244, 122936, 2024. doi:10.1016/j.eswa.2023.122936</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[13] W. A. Fuller, Measurement error models. Wiley Series in Probability and Statistics, 1987. doi:10.1002/9780470316665</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[14] R. J. Carroll, D. Ruppert, L. A. Stefanski, C. M. Crainiceanu, Measurement error in nonlinear models: a modern perspective, 2nd ed. Chapman and Hall/CRC, 2006. doi:10.1201/9781420010138</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[15] T. Loughran, B. McDonald, "When is a liability not a liability? Textual analysis, dictionaries, and 10-Ks," The Journal of Finance, vol. 66, no. 1, pp. 35-65, 2011. doi:10.1111/j.1540-6261.2010.01625.x</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[16] J. Devlin, M. W. Chang, K. Lee, K. Toutanova, "BERT: pre-training of deep bidirectional transformers for language understanding," in Proc. 2019 Conf. North American Chapter of the Association for Computational Linguistics, pp. 4171-4186, 2019. doi:10.18653/v1/N19-1423</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[17] Z. Liu, D. Huang, K. Huang, Z. Li, J. Zhao, "FinBERT: a pre-trained financial language representation model for financial text mining," in Proc. 29th Int. Joint Conf. Artificial Intelligence, pp. 4513-4519, 2020. doi:10.24963/ijcai.2020/622</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[18] Y. Xu, S. B. Cohen, "Stock movement prediction from tweets and historical prices," in Proc. 56th Annual Meeting of the Association for Computational Linguistics, pp. 1970-1979, 2018. doi:10.18653/v1/P18-1183</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[19] R. Sawhney, S. Agarwal, A. Wadhwa, R. R. Shah, "Deep attentive learning for stock movement prediction from social media text and company correlations," in Proc. 2020 Conf. Empirical Methods in Natural Language Processing, pp. 8415-8426, 2020. doi:10.18653/v1/2020.emnlp-main.676</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[20] Z. Hu, W. Liu, J. Bian, X. Liu, T. Y. Liu, "Listening to chaotic whispers: a deep learning framework for news-oriented stock trend prediction," in Proc. 11th ACM Int. Conf. Web Search and Data Mining, pp. 261-269, 2018. doi:10.1145/3159652.3159690</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[21] V. Snášel, J. D. Velasquez, M. Pant, D. Georgiou, L. Kong, "A generalization of multi-source fusion-based framework to stock selection," Information Fusion, vol. 102, 102018, 2024. doi:10.1016/j.inffus.2023.102018</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[22] W. Long, J. Gao, K. Bai, Z. Lu, "A hybrid model for stock price prediction based on multi-view heterogeneous data," Financial Innovation, vol. 10, no. 1, 2024. doi:10.1186/s40854-023-00519-w</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[23] A. M. Ozbayoglu, M. U. Gudelek, O. B. Sezer, "Deep learning for financial applications: a survey," Applied Soft Computing, vol. 93, 106384, 2020. doi:10.1016/j.asoc.2020.106384</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[24] O. B. Sezer, M. U. Gudelek, A. M. Ozbayoglu, "Financial time series forecasting with deep learning: a systematic literature review: 2005-2019," Applied Soft Computing, vol. 90, 106181, 2020. doi:10.1016/j.asoc.2020.106181</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[25] J. Patel, S. Shah, P. Thakkar, K. Kotecha, "Predicting stock market index using fusion of machine learning techniques," Expert Systems with Applications, vol. 42, no. 4, pp. 2162-2172, 2015. doi:10.1016/j.eswa.2014.10.031</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[26] W. Bao, J. Yue, Y. Rao, "A deep learning framework for financial time series using stacked autoencoders and long-short term memory," PLOS ONE, vol. 12, no. 7, e0180944, 2017. doi:10.1371/journal.pone.0180944</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[27] Q. Zhang et al., "Transformer-based attention network for stock movement prediction," Expert Systems with Applications, vol. 202, 117239, 2022. doi:10.1016/j.eswa.2022.117239</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[28] S. Li, S. Xu, "Enhancing stock price prediction using GANs and transformer-based attention mechanisms," Empirical Economics, vol. 68, no. 1, pp. 373-403, 2025. doi:10.1007/s00181-024-02644-6</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[29] Z. Shao, X. Yao, F. Chen, Z. Wang, J. Gao, "Revisiting time-varying dynamics in stock market forecasting: a multi-source sentiment analysis approach with large language model," Decision Support Systems, vol. 190, 114362, 2025. doi:10.1016/j.dss.2024.114362</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[30] W. Chen, W. Liu, J. Zheng, X. Zhang, "Leveraging large language model as news sentiment predictor in stock markets: a knowledge-enhanced strategy," Discover Computing, vol. 28, no. 1, 74, 2025. doi:10.1007/s10791-025-09573-7</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[31] L. Ruan, H. Jiang, "Stock price prediction using FinBERT-enhanced sentiment with SHAP explainability and differential privacy," Mathematics, vol. 13, no. 17, 2747, 2025. doi:10.3390/math13172747</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[32] P. Zhang, R. Harris, J. Zheng, "GNN-based social media sentiment analysis for stock market forecasting and trading," Expert Systems with Applications, vol. 291, 128425, 2025. doi:10.1016/j.eswa.2025.128425</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[33] B. Lei, Y. Song, "Volatility forecasting for stock market incorporating media reports, investors' sentiment, and attention based on MTGNN model," Journal of Forecasting, vol. 43, no. 5, pp. 1706-1730, 2024. doi:10.1002/for.3101</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[34] P. Lin, S. Ma, R. Fildes, "The extra value of online investor sentiment measures on forecasting stock return volatility: a large-scale longitudinal evaluation based on Chinese stock market," Expert Systems with Applications, vol. 238, 121927, 2024. doi:10.1016/j.eswa.2023.121927</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[35] C. Saravanos, A. Kanavos, "Forecasting stock market volatility using social media sentiment analysis," Neural Computing and Applications, vol. 37, no. 17, pp. 10771-10794, 2025. doi:10.1007/s00521-024-10807-w</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[36] M. Fernandes, M. Pereira, "Forecasting realized volatility using news flow," The Quarterly Review of Economics and Finance, vol. 104, 102040, 2025. doi:10.1016/j.qref.2025.102040</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[37] S. R. Baker, N. Bloom, S. J. Davis, K. Kost, "Policy news and stock market volatility," Journal of Financial Economics, vol. 175, 104187, 2026. doi:10.1016/j.jfineco.2025.104187</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[38] Y. Feng, Y. Zhang, "Forecasting realized volatility: the choice of window size," Journal of Forecasting, vol. 44, no. 2, pp. 692-705, 2025. doi:10.1002/for.3221</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[39] L. Mintarya, J. Halim, C. Angie, S. Achmad, A. Kurniawan, "Machine learning approaches in stock market prediction: a systematic literature review," Procedia Computer Science, vol. 216, pp. 96-102, 2023. doi:10.1016/j.procs.2022.12.115</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[40] M. Saberironaghi, J. Ren, A. Saberironaghi, "Stock market prediction using machine learning and deep learning techniques: a review," AppliedMath, vol. 5, no. 3, 76, 2025. doi:10.3390/appliedmath5030076</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[41] N. Adelakun, A. Adebisi, "Sentiment analysis of financial news using the BERT model," ITEGAM-JETIA, vol. 10, no. 48, pp. 21-27, 2024. doi:10.5935/jetia.v10i48.1029</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[42] R. Nichani, L. Gasmi, S. Kabou, N. Laiche, "Novel insights on the comparative study between LSTM and transformer models for financial time series prediction," ITEGAM-JETIA, vol. 11, no. 55, pp. 212-221, 2025. doi:10.5935/jetia.v11i55.2658</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[43] A. Othman, S. Al-Banna Ali, M. Youssef, "Forecasting Bitcoin price movements using historical data," ITEGAM-JETIA, vol. 12, no. 60, pp. 584-595, 2026. doi:10.5935/jetia.v12i60.3915</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[44] A. S. Goldberger, "Structural equation methods in the social sciences," Econometrica, vol. 40, no. 6, pp. 979-1001, 1972. doi:10.2307/1913851</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[45] Z. Griliches, "Distributed lags: a survey," Econometrica, vol. 35, no. 1, pp. 16-49, 1967. doi:10.2307/1909382</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[46] D. O. North, "An analysis of the factors which determine signal/noise discrimination in pulsed-carrier systems," Proceedings of the IEEE, vol. 51, no. 7, pp. 1016-1027, 1963. doi:10.1109/PROC.1963.2383</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[47] G. Turin, "An introduction to matched filters," IRE Transactions on Information Theory, vol. 6, no. 3, pp. 311-329, 1960. doi:10.1109/TIT.1960.1057571</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[48] B. Widrow, J. McCool, M. Larimore, C. Johnson, "Stationary and nonstationary learning characteristics of the LMS adaptive filter," Proceedings of the IEEE, vol. 64, no. 8, pp. 1151-1162, 1976. doi:10.1109/PROC.1976.10286</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[49] A. H. Sayed, Adaptive filters. Wiley-IEEE Press, 2008. doi:10.1002/9780470374122</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[50] R. Amrane, "Curve-fitting-based FIR filter design for stop-band attenuation performance improvement," ITEGAM-JETIA, vol. 12, no. 59, pp. 773-779, 2026. doi:10.5935/jetia.v12i59.3644</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[51] K. Klauenberg et al., "The GUM perspective on straight-line errors-in-variables regression," Measurement, vol. 187, 110340, 2022. doi:10.1016/j.measurement.2021.110340</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[52] A. F. Hayes, P. D. Allison, S. Alexander, "Errors-in-variables regression as a viable approach to mediation analysis with random error-tainted measurements: estimation, effectiveness, and an easy-to-use implementation," Behavior Research Methods, vol. 57, no. 12, 323, 2025. doi:10.3758/s13428-025-02783-3</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[53] M. Qiao, K. Huang, "Correcting measurement error in regression models with variables constructed from aggregated output of data mining models," MIS Quarterly, vol. 49, no. 1, pp. 29-60, 2025. doi:10.25300/misq/2024/18026</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[54] E. Eweda, N. J. Bershad, J. C. M. Bermudez, "Stochastic analysis of the diffusion least mean square and normalized least mean square algorithms for cyclostationary white Gaussian and non-Gaussian inputs," International Journal of Adaptive Control and Signal Processing, vol. 35, no. 12, pp. 2466-2486, 2021. doi:10.1002/acs.3334</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[55] W. Wang, K. Dogancay, "Transient performance analysis of geometric algebra least mean square adaptive filter," IEEE Transactions on Circuits and Systems II: Express Briefs, vol. 68, no. 8, pp. 3027-3031, 2021. doi:10.1109/TCSII.2021.3069390</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[56] D. T. M. Slock, "On the convergence behavior of the LMS and the normalized LMS algorithms," IEEE Transactions on Signal Processing, vol. 41, no. 9, pp. 2811-2825, 1993. doi:10.1109/78.236504</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[57] J. Lin, C. Jiang, P. Liu, "Parametric matched filter based on interference iteration," Digital Signal Processing, vol. 111, 102962, 2021. doi:10.1016/j.dsp.2021.102962</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[58] J. Lin, C. Jiang, J. Jiang, J. Kang, "Conjugate gradient persymmetric adaptive matched filter," Digital Signal Processing, vol. 123, 103395, 2022. doi:10.1016/j.dsp.2022.103395</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[59] I. Marcantoni, A. Sbrollini, M. Morettini, C. A. Swenne, L. Burattini, "Enhanced adaptive matched filter for automated identification and measurement of electrocardiographic alternans," Biomedical Signal Processing and Control, vol. 68, 102619, 2021. doi:10.1016/j.bspc.2021.102619</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[60] B. Widrow, E. Walach, "On the statistical efficiency of the LMS algorithm with nonstationary inputs," IEEE Transactions on Information Theory, vol. 30, no. 2, pp. 211-221, 1984. doi:10.1109/TIT.1984.1056892</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[61] Z. Dong, X. Fan, Z. Peng, "FNSPID: a comprehensive financial news dataset in time series," in Proc. 30th ACM SIGKDD Conf. Knowledge Discovery and Data Mining, pp. 4918-4927, 2024. doi:10.1145/3637528.3671629</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[62] C. Hutto, E. Gilbert, "VADER: a parsimonious rule-based model for sentiment analysis of social media text," in Proc. Int. AAAI Conf. Web and Social Media, vol. 8, no. 1, pp. 216-225, 2014. doi:10.1609/icwsm.v8i1.14550</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[63] M. Parkinson, "The extreme value method for estimating the variance of the rate of return," The Journal of Business, vol. 53, no. 1, pp. 61-65, 1980. doi:10.1086/296071</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[64] R. F. Engle, V. K. Ng, "Measuring and testing the impact of news on volatility," The Journal of Finance, vol. 48, no. 5, pp. 1749-1778, 1993. doi:10.1111/j.1540-6261.1993.tb05127.x</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[65] W. K. Newey, K. D. West, "A simple, positive semi-definite, heteroskedasticity and autocorrelation consistent covariance matrix," Econometrica, vol. 55, no. 3, pp. 703-708, 1987. doi:10.2307/1913610</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[66] F. X. Diebold, R. S. Mariano, "Comparing predictive accuracy," Journal of Business and Economic Statistics, vol. 13, no. 3, pp. 253-263, 1995. doi:10.1080/07350015.1995.10524599</w:t>
      </w:r>
    </w:p>
    <w:p>
      <w:pPr>
        <w:tabs>
          <w:tab w:val="left" w:pos="567"/>
        </w:tabs>
        <w:spacing w:after="0" w:line="240" w:lineRule="auto"/>
        <w:jc w:val="both"/>
      </w:pPr>
    </w:p>
    <w:sectPr w:rsidR="00421D36" w:rsidRPr="00290E48" w:rsidSect="00A24B78">
      <w:type w:val="continuous"/>
      <w:pgSz w:w="11906" w:h="16838"/>
      <w:pgMar w:top="676" w:right="566" w:bottom="1276" w:left="426" w:header="113" w:footer="0" w:gutter="0"/>
      <w:pgNumType w:start="4"/>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D41583" w14:textId="77777777" w:rsidR="00B75429" w:rsidRDefault="00B75429" w:rsidP="00E06C35">
      <w:pPr>
        <w:spacing w:after="0" w:line="240" w:lineRule="auto"/>
      </w:pPr>
      <w:r>
        <w:separator/>
      </w:r>
    </w:p>
  </w:endnote>
  <w:endnote w:type="continuationSeparator" w:id="0">
    <w:p w14:paraId="4B405B84" w14:textId="77777777" w:rsidR="00B75429" w:rsidRDefault="00B75429" w:rsidP="00E06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FuturaBT-Light">
    <w:altName w:val="Times New Roman"/>
    <w:panose1 w:val="00000000000000000000"/>
    <w:charset w:val="00"/>
    <w:family w:val="roman"/>
    <w:notTrueType/>
    <w:pitch w:val="default"/>
  </w:font>
  <w:font w:name="Times">
    <w:panose1 w:val="02020603050405020304"/>
    <w:charset w:val="00"/>
    <w:family w:val="roman"/>
    <w:pitch w:val="variable"/>
    <w:sig w:usb0="E0002AFF" w:usb1="C0007841" w:usb2="00000009" w:usb3="00000000" w:csb0="000001FF" w:csb1="00000000"/>
  </w:font>
  <w:font w:name="MinionPro-Capt">
    <w:altName w:val="MS Mincho"/>
    <w:panose1 w:val="00000000000000000000"/>
    <w:charset w:val="80"/>
    <w:family w:val="roman"/>
    <w:notTrueType/>
    <w:pitch w:val="default"/>
    <w:sig w:usb0="00000000" w:usb1="08070000" w:usb2="00000010" w:usb3="00000000" w:csb0="00020000" w:csb1="00000000"/>
  </w:font>
  <w:font w:name="Neo Sans Std">
    <w:altName w:val="Calibri"/>
    <w:panose1 w:val="00000000000000000000"/>
    <w:charset w:val="00"/>
    <w:family w:val="swiss"/>
    <w:notTrueType/>
    <w:pitch w:val="variable"/>
    <w:sig w:usb0="800000AF" w:usb1="5000205B"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C95F49" w14:textId="668275DE" w:rsidR="000960BC" w:rsidRDefault="00DA021A">
    <w:pPr>
      <w:pStyle w:val="Rodap"/>
    </w:pPr>
    <w:r>
      <w:rPr>
        <w:rFonts w:ascii="Times New Roman" w:eastAsia="MS Mincho" w:hAnsi="Times New Roman" w:cs="Times New Roman"/>
        <w:noProof/>
        <w:spacing w:val="2"/>
        <w:sz w:val="20"/>
        <w:szCs w:val="20"/>
        <w:lang w:eastAsia="pt-BR"/>
      </w:rPr>
      <mc:AlternateContent>
        <mc:Choice Requires="wps">
          <w:drawing>
            <wp:anchor distT="0" distB="0" distL="114300" distR="114300" simplePos="0" relativeHeight="251669504" behindDoc="0" locked="0" layoutInCell="1" allowOverlap="1" wp14:anchorId="35F0C3E7" wp14:editId="1838DF51">
              <wp:simplePos x="0" y="0"/>
              <wp:positionH relativeFrom="margin">
                <wp:posOffset>0</wp:posOffset>
              </wp:positionH>
              <wp:positionV relativeFrom="paragraph">
                <wp:posOffset>-342595</wp:posOffset>
              </wp:positionV>
              <wp:extent cx="6934200" cy="257175"/>
              <wp:effectExtent l="0" t="0" r="19050" b="28575"/>
              <wp:wrapNone/>
              <wp:docPr id="17" name="Retângulo 17"/>
              <wp:cNvGraphicFramePr/>
              <a:graphic xmlns:a="http://schemas.openxmlformats.org/drawingml/2006/main">
                <a:graphicData uri="http://schemas.microsoft.com/office/word/2010/wordprocessingShape">
                  <wps:wsp>
                    <wps:cNvSpPr/>
                    <wps:spPr>
                      <a:xfrm>
                        <a:off x="0" y="0"/>
                        <a:ext cx="6934200" cy="257175"/>
                      </a:xfrm>
                      <a:prstGeom prst="rect">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0E7D1B" w14:textId="77777777" w:rsidR="00DA021A" w:rsidRPr="00914D29" w:rsidRDefault="00DA021A" w:rsidP="00DA021A">
                          <w:pPr>
                            <w:jc w:val="center"/>
                            <w:rPr>
                              <w:b/>
                              <w:bCs/>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F0C3E7" id="Retângulo 17" o:spid="_x0000_s1027" style="position:absolute;margin-left:0;margin-top:-27pt;width:546pt;height:20.2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" fillcolor="#002060" strokecolor="#002060" strokeweight="1pt">
              <v:textbox>
                <w:txbxContent>
                  <w:p w14:paraId="620E7D1B" w14:textId="77777777" w:rsidR="00DA021A" w:rsidRPr="00914D29" w:rsidRDefault="00DA021A" w:rsidP="00DA021A">
                    <w:pPr>
                      <w:jc w:val="center"/>
                      <w:rPr>
                        <w:b/>
                        <w:bCs/>
                        <w:lang w:val="en-US"/>
                      </w:rPr>
                    </w:pPr>
                  </w:p>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4D06A6" w14:textId="21C984B8" w:rsidR="000960BC" w:rsidRDefault="00DA021A" w:rsidP="0033475F">
    <w:pPr>
      <w:pStyle w:val="Rodap"/>
    </w:pPr>
    <w:r>
      <w:rPr>
        <w:rFonts w:ascii="Times New Roman" w:eastAsia="MS Mincho" w:hAnsi="Times New Roman" w:cs="Times New Roman"/>
        <w:noProof/>
        <w:spacing w:val="2"/>
        <w:sz w:val="20"/>
        <w:szCs w:val="20"/>
        <w:lang w:eastAsia="pt-BR"/>
      </w:rPr>
      <mc:AlternateContent>
        <mc:Choice Requires="wps">
          <w:drawing>
            <wp:anchor distT="0" distB="0" distL="114300" distR="114300" simplePos="0" relativeHeight="251665408" behindDoc="0" locked="0" layoutInCell="1" allowOverlap="1" wp14:anchorId="4AF54209" wp14:editId="25EE9154">
              <wp:simplePos x="0" y="0"/>
              <wp:positionH relativeFrom="page">
                <wp:posOffset>270510</wp:posOffset>
              </wp:positionH>
              <wp:positionV relativeFrom="paragraph">
                <wp:posOffset>-307502</wp:posOffset>
              </wp:positionV>
              <wp:extent cx="6934200" cy="257175"/>
              <wp:effectExtent l="0" t="0" r="19050" b="28575"/>
              <wp:wrapNone/>
              <wp:docPr id="10" name="Retângulo 10"/>
              <wp:cNvGraphicFramePr/>
              <a:graphic xmlns:a="http://schemas.openxmlformats.org/drawingml/2006/main">
                <a:graphicData uri="http://schemas.microsoft.com/office/word/2010/wordprocessingShape">
                  <wps:wsp>
                    <wps:cNvSpPr/>
                    <wps:spPr>
                      <a:xfrm>
                        <a:off x="0" y="0"/>
                        <a:ext cx="6934200" cy="257175"/>
                      </a:xfrm>
                      <a:prstGeom prst="rect">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75B23E" w14:textId="77777777" w:rsidR="00DA021A" w:rsidRPr="00914D29" w:rsidRDefault="00DA021A" w:rsidP="00DA021A">
                          <w:pPr>
                            <w:spacing w:after="0"/>
                            <w:ind w:left="-567" w:right="-849"/>
                            <w:jc w:val="center"/>
                            <w:rPr>
                              <w:rFonts w:ascii="Times New Roman" w:hAnsi="Times New Roman" w:cs="Times New Roman"/>
                              <w:b/>
                              <w:bCs/>
                              <w:sz w:val="20"/>
                              <w:szCs w:val="20"/>
                              <w:lang w:val="en-US"/>
                            </w:rPr>
                          </w:pPr>
                          <w:bookmarkStart w:id="0" w:name="_Hlk46995691"/>
                          <w:r w:rsidRPr="00914D29">
                            <w:rPr>
                              <w:rFonts w:ascii="Times New Roman" w:hAnsi="Times New Roman" w:cs="Times New Roman"/>
                              <w:b/>
                              <w:bCs/>
                              <w:sz w:val="20"/>
                              <w:szCs w:val="20"/>
                              <w:lang w:val="en-US"/>
                            </w:rPr>
                            <w:t>Journal homepage: www.itegam-jetia.org</w:t>
                          </w:r>
                        </w:p>
                        <w:bookmarkEnd w:id="0"/>
                        <w:p w14:paraId="7943F8D8" w14:textId="77777777" w:rsidR="00DA021A" w:rsidRPr="00914D29" w:rsidRDefault="00DA021A" w:rsidP="00DA021A">
                          <w:pPr>
                            <w:jc w:val="center"/>
                            <w:rPr>
                              <w:b/>
                              <w:bCs/>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F54209" id="Retângulo 10" o:spid="_x0000_s1029" style="position:absolute;margin-left:21.3pt;margin-top:-24.2pt;width:546pt;height:20.2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" fillcolor="#002060" strokecolor="#002060" strokeweight="1pt">
              <v:textbox>
                <w:txbxContent>
                  <w:p w14:paraId="7775B23E" w14:textId="77777777" w:rsidR="00DA021A" w:rsidRPr="00914D29" w:rsidRDefault="00DA021A" w:rsidP="00DA021A">
                    <w:pPr>
                      <w:spacing w:after="0"/>
                      <w:ind w:left="-567" w:right="-849"/>
                      <w:jc w:val="center"/>
                      <w:rPr>
                        <w:rFonts w:ascii="Times New Roman" w:hAnsi="Times New Roman" w:cs="Times New Roman"/>
                        <w:b/>
                        <w:bCs/>
                        <w:sz w:val="20"/>
                        <w:szCs w:val="20"/>
                        <w:lang w:val="en-US"/>
                      </w:rPr>
                    </w:pPr>
                    <w:bookmarkStart w:id="1" w:name="_Hlk46995691"/>
                    <w:r w:rsidRPr="00914D29">
                      <w:rPr>
                        <w:rFonts w:ascii="Times New Roman" w:hAnsi="Times New Roman" w:cs="Times New Roman"/>
                        <w:b/>
                        <w:bCs/>
                        <w:sz w:val="20"/>
                        <w:szCs w:val="20"/>
                        <w:lang w:val="en-US"/>
                      </w:rPr>
                      <w:t>Journal homepage: www.itegam-jetia.org</w:t>
                    </w:r>
                  </w:p>
                  <w:bookmarkEnd w:id="1"/>
                  <w:p w14:paraId="7943F8D8" w14:textId="77777777" w:rsidR="00DA021A" w:rsidRPr="00914D29" w:rsidRDefault="00DA021A" w:rsidP="00DA021A">
                    <w:pPr>
                      <w:jc w:val="center"/>
                      <w:rPr>
                        <w:b/>
                        <w:bCs/>
                        <w:lang w:val="en-US"/>
                      </w:rPr>
                    </w:pP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985FB4" w14:textId="77777777" w:rsidR="00B75429" w:rsidRDefault="00B75429" w:rsidP="00E06C35">
      <w:pPr>
        <w:spacing w:after="0" w:line="240" w:lineRule="auto"/>
      </w:pPr>
      <w:r>
        <w:separator/>
      </w:r>
    </w:p>
  </w:footnote>
  <w:footnote w:type="continuationSeparator" w:id="0">
    <w:p w14:paraId="19AFB8A0" w14:textId="77777777" w:rsidR="00B75429" w:rsidRDefault="00B75429" w:rsidP="00E06C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3F5EA2" w14:textId="07E9A629" w:rsidR="000960BC" w:rsidRDefault="00DA021A">
    <w:pPr>
      <w:pStyle w:val="Cabealho"/>
    </w:pPr>
    <w:r>
      <w:rPr>
        <w:rFonts w:ascii="Times New Roman" w:eastAsia="MS Mincho" w:hAnsi="Times New Roman" w:cs="Times New Roman"/>
        <w:noProof/>
        <w:spacing w:val="2"/>
        <w:sz w:val="20"/>
        <w:szCs w:val="20"/>
        <w:lang w:eastAsia="pt-BR"/>
      </w:rPr>
      <mc:AlternateContent>
        <mc:Choice Requires="wps">
          <w:drawing>
            <wp:anchor distT="0" distB="0" distL="114300" distR="114300" simplePos="0" relativeHeight="251667456" behindDoc="0" locked="0" layoutInCell="1" allowOverlap="1" wp14:anchorId="62CBA3C3" wp14:editId="7EB5914A">
              <wp:simplePos x="0" y="0"/>
              <wp:positionH relativeFrom="margin">
                <wp:posOffset>0</wp:posOffset>
              </wp:positionH>
              <wp:positionV relativeFrom="paragraph">
                <wp:posOffset>169383</wp:posOffset>
              </wp:positionV>
              <wp:extent cx="6934200" cy="257175"/>
              <wp:effectExtent l="0" t="0" r="19050" b="28575"/>
              <wp:wrapNone/>
              <wp:docPr id="19" name="Retângulo 19"/>
              <wp:cNvGraphicFramePr/>
              <a:graphic xmlns:a="http://schemas.openxmlformats.org/drawingml/2006/main">
                <a:graphicData uri="http://schemas.microsoft.com/office/word/2010/wordprocessingShape">
                  <wps:wsp>
                    <wps:cNvSpPr/>
                    <wps:spPr>
                      <a:xfrm>
                        <a:off x="0" y="0"/>
                        <a:ext cx="6934200" cy="257175"/>
                      </a:xfrm>
                      <a:prstGeom prst="rect">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6F9CE9" w14:textId="5C763002" w:rsidR="00DA021A" w:rsidRPr="00870149" w:rsidRDefault="00CB7C4F" w:rsidP="00DA021A">
                          <w:pPr>
                            <w:jc w:val="center"/>
                            <w:rPr>
                              <w:b/>
                              <w:bCs/>
                              <w:color w:val="FFFF00"/>
                              <w:lang w:val="en-US"/>
                            </w:rPr>
                          </w:pPr>
                          <w:r w:rsidRPr="00FE05FB">
                            <w:rPr>
                              <w:rFonts w:ascii="Times New Roman" w:hAnsi="Times New Roman" w:cs="Times New Roman"/>
                              <w:b/>
                              <w:bCs/>
                              <w:i/>
                              <w:iCs/>
                              <w:color w:val="FFFF00"/>
                              <w:sz w:val="20"/>
                              <w:szCs w:val="20"/>
                              <w:lang w:val="en-US"/>
                            </w:rPr>
                            <w:t>Pardeshi and Deshmukh</w:t>
                          </w:r>
                          <w:r w:rsidR="00DA021A" w:rsidRPr="00FE05FB">
                            <w:rPr>
                              <w:rFonts w:ascii="Times New Roman" w:hAnsi="Times New Roman" w:cs="Times New Roman"/>
                              <w:b/>
                              <w:bCs/>
                              <w:i/>
                              <w:iCs/>
                              <w:color w:val="FFFF00"/>
                              <w:sz w:val="20"/>
                              <w:szCs w:val="20"/>
                              <w:lang w:val="en-US"/>
                            </w:rPr>
                            <w:t>,</w:t>
                          </w:r>
                          <w:r w:rsidR="00DA021A" w:rsidRPr="00FE05FB">
                            <w:rPr>
                              <w:rFonts w:ascii="Times New Roman" w:hAnsi="Times New Roman" w:cs="Times New Roman"/>
                              <w:b/>
                              <w:bCs/>
                              <w:color w:val="FFFF00"/>
                              <w:sz w:val="20"/>
                              <w:szCs w:val="20"/>
                              <w:lang w:val="en-US"/>
                            </w:rPr>
                            <w:t xml:space="preserve"> ITEGAM-JETIA</w:t>
                          </w:r>
                          <w:r w:rsidR="002200C0">
                            <w:rPr>
                              <w:rFonts w:ascii="Times New Roman" w:hAnsi="Times New Roman" w:cs="Times New Roman"/>
                              <w:b/>
                              <w:bCs/>
                              <w:color w:val="FFFF00"/>
                              <w:sz w:val="20"/>
                              <w:szCs w:val="20"/>
                              <w:lang w:val="en-US"/>
                            </w:rPr>
                            <w:t>,</w:t>
                          </w:r>
                          <w:r w:rsidR="00DA021A" w:rsidRPr="00FE05FB">
                            <w:rPr>
                              <w:rFonts w:ascii="Times New Roman" w:hAnsi="Times New Roman" w:cs="Times New Roman"/>
                              <w:b/>
                              <w:bCs/>
                              <w:color w:val="FFFF00"/>
                              <w:sz w:val="20"/>
                              <w:szCs w:val="20"/>
                              <w:lang w:val="en-US"/>
                            </w:rPr>
                            <w:t xml:space="preserve"> </w:t>
                          </w:r>
                          <w:r w:rsidR="00D16304" w:rsidRPr="002200C0">
                            <w:rPr>
                              <w:rFonts w:ascii="Times New Roman" w:hAnsi="Times New Roman" w:cs="Times New Roman"/>
                              <w:b/>
                              <w:bCs/>
                              <w:color w:val="FFFF00"/>
                              <w:sz w:val="20"/>
                              <w:szCs w:val="20"/>
                              <w:lang w:val="en-US"/>
                            </w:rPr>
                            <w:t xml:space="preserve">Manaus, </w:t>
                          </w:r>
                          <w:proofErr w:type="spellStart"/>
                          <w:r w:rsidR="00870149" w:rsidRPr="002200C0">
                            <w:rPr>
                              <w:rFonts w:ascii="Times New Roman" w:hAnsi="Times New Roman" w:cs="Times New Roman"/>
                              <w:b/>
                              <w:bCs/>
                              <w:color w:val="FFFF00"/>
                              <w:sz w:val="20"/>
                              <w:szCs w:val="20"/>
                              <w:lang w:val="en-US"/>
                            </w:rPr>
                            <w:t>v.</w:t>
                          </w:r>
                          <w:r w:rsidRPr="002200C0">
                            <w:rPr>
                              <w:rFonts w:ascii="Times New Roman" w:hAnsi="Times New Roman" w:cs="Times New Roman"/>
                              <w:b/>
                              <w:bCs/>
                              <w:color w:val="FFFF00"/>
                              <w:sz w:val="20"/>
                              <w:szCs w:val="20"/>
                              <w:lang w:val="en-US"/>
                            </w:rPr>
                            <w:t>XX</w:t>
                          </w:r>
                          <w:proofErr w:type="spellEnd"/>
                          <w:r w:rsidR="00870149" w:rsidRPr="002200C0">
                            <w:rPr>
                              <w:rFonts w:ascii="Times New Roman" w:hAnsi="Times New Roman" w:cs="Times New Roman"/>
                              <w:b/>
                              <w:bCs/>
                              <w:color w:val="FFFF00"/>
                              <w:sz w:val="20"/>
                              <w:szCs w:val="20"/>
                              <w:lang w:val="en-US"/>
                            </w:rPr>
                            <w:t xml:space="preserve"> </w:t>
                          </w:r>
                          <w:proofErr w:type="spellStart"/>
                          <w:r w:rsidR="00870149" w:rsidRPr="002200C0">
                            <w:rPr>
                              <w:rFonts w:ascii="Times New Roman" w:hAnsi="Times New Roman" w:cs="Times New Roman"/>
                              <w:b/>
                              <w:bCs/>
                              <w:color w:val="FFFF00"/>
                              <w:sz w:val="20"/>
                              <w:szCs w:val="20"/>
                              <w:lang w:val="en-US"/>
                            </w:rPr>
                            <w:t>n.</w:t>
                          </w:r>
                          <w:r w:rsidRPr="002200C0">
                            <w:rPr>
                              <w:rFonts w:ascii="Times New Roman" w:hAnsi="Times New Roman" w:cs="Times New Roman"/>
                              <w:b/>
                              <w:bCs/>
                              <w:color w:val="FFFF00"/>
                              <w:sz w:val="20"/>
                              <w:szCs w:val="20"/>
                              <w:lang w:val="en-US"/>
                            </w:rPr>
                            <w:t>XX</w:t>
                          </w:r>
                          <w:proofErr w:type="spellEnd"/>
                          <w:r w:rsidR="00DA021A" w:rsidRPr="002200C0">
                            <w:rPr>
                              <w:rFonts w:ascii="Times New Roman" w:hAnsi="Times New Roman" w:cs="Times New Roman"/>
                              <w:b/>
                              <w:bCs/>
                              <w:color w:val="FFFF00"/>
                              <w:sz w:val="20"/>
                              <w:szCs w:val="20"/>
                              <w:lang w:val="en-US"/>
                            </w:rPr>
                            <w:t>, p</w:t>
                          </w:r>
                          <w:r w:rsidR="00EB24F0" w:rsidRPr="002200C0">
                            <w:rPr>
                              <w:rFonts w:ascii="Times New Roman" w:hAnsi="Times New Roman" w:cs="Times New Roman"/>
                              <w:b/>
                              <w:bCs/>
                              <w:color w:val="FFFF00"/>
                              <w:sz w:val="20"/>
                              <w:szCs w:val="20"/>
                              <w:lang w:val="en-US"/>
                            </w:rPr>
                            <w:t>.</w:t>
                          </w:r>
                          <w:r w:rsidR="00DA021A" w:rsidRPr="002200C0">
                            <w:rPr>
                              <w:rFonts w:ascii="Times New Roman" w:hAnsi="Times New Roman" w:cs="Times New Roman"/>
                              <w:b/>
                              <w:bCs/>
                              <w:color w:val="FFFF00"/>
                              <w:sz w:val="20"/>
                              <w:szCs w:val="20"/>
                              <w:lang w:val="en-US"/>
                            </w:rPr>
                            <w:t xml:space="preserve"> </w:t>
                          </w:r>
                          <w:r w:rsidRPr="002200C0">
                            <w:rPr>
                              <w:rFonts w:ascii="Times New Roman" w:hAnsi="Times New Roman" w:cs="Times New Roman"/>
                              <w:b/>
                              <w:bCs/>
                              <w:color w:val="FFFF00"/>
                              <w:sz w:val="20"/>
                              <w:szCs w:val="20"/>
                              <w:lang w:val="en-US"/>
                            </w:rPr>
                            <w:t>XX</w:t>
                          </w:r>
                          <w:r w:rsidR="008A020A" w:rsidRPr="002200C0">
                            <w:rPr>
                              <w:rFonts w:ascii="Times New Roman" w:hAnsi="Times New Roman" w:cs="Times New Roman"/>
                              <w:b/>
                              <w:bCs/>
                              <w:color w:val="FFFF00"/>
                              <w:sz w:val="20"/>
                              <w:szCs w:val="20"/>
                              <w:lang w:val="en-US"/>
                            </w:rPr>
                            <w:t>-</w:t>
                          </w:r>
                          <w:r w:rsidRPr="002200C0">
                            <w:rPr>
                              <w:rFonts w:ascii="Times New Roman" w:hAnsi="Times New Roman" w:cs="Times New Roman"/>
                              <w:b/>
                              <w:bCs/>
                              <w:color w:val="FFFF00"/>
                              <w:sz w:val="20"/>
                              <w:szCs w:val="20"/>
                              <w:lang w:val="en-US"/>
                            </w:rPr>
                            <w:t>XX</w:t>
                          </w:r>
                          <w:r w:rsidR="002200C0">
                            <w:rPr>
                              <w:rFonts w:ascii="Times New Roman" w:hAnsi="Times New Roman" w:cs="Times New Roman"/>
                              <w:b/>
                              <w:bCs/>
                              <w:color w:val="FFFF00"/>
                              <w:sz w:val="20"/>
                              <w:szCs w:val="20"/>
                              <w:lang w:val="en-US"/>
                            </w:rPr>
                            <w:t>,</w:t>
                          </w:r>
                          <w:r w:rsidR="00DA021A" w:rsidRPr="002200C0">
                            <w:rPr>
                              <w:rFonts w:ascii="Times New Roman" w:hAnsi="Times New Roman" w:cs="Times New Roman"/>
                              <w:b/>
                              <w:bCs/>
                              <w:color w:val="FFFF00"/>
                              <w:sz w:val="20"/>
                              <w:szCs w:val="20"/>
                              <w:lang w:val="en-US"/>
                            </w:rPr>
                            <w:t xml:space="preserve"> </w:t>
                          </w:r>
                          <w:r w:rsidRPr="00870149">
                            <w:rPr>
                              <w:rFonts w:ascii="Times New Roman" w:hAnsi="Times New Roman" w:cs="Times New Roman"/>
                              <w:b/>
                              <w:bCs/>
                              <w:color w:val="FFFF00"/>
                              <w:sz w:val="20"/>
                              <w:szCs w:val="20"/>
                              <w:lang w:val="en-US"/>
                            </w:rPr>
                            <w:t>Mon</w:t>
                          </w:r>
                          <w:proofErr w:type="gramStart"/>
                          <w:r w:rsidR="0000419A">
                            <w:rPr>
                              <w:rFonts w:ascii="Times New Roman" w:hAnsi="Times New Roman" w:cs="Times New Roman"/>
                              <w:b/>
                              <w:bCs/>
                              <w:color w:val="FFFF00"/>
                              <w:sz w:val="20"/>
                              <w:szCs w:val="20"/>
                              <w:lang w:val="en-US"/>
                            </w:rPr>
                            <w:t>.</w:t>
                          </w:r>
                          <w:r w:rsidR="00D16304">
                            <w:rPr>
                              <w:rFonts w:ascii="Times New Roman" w:hAnsi="Times New Roman" w:cs="Times New Roman"/>
                              <w:b/>
                              <w:bCs/>
                              <w:color w:val="FFFF00"/>
                              <w:sz w:val="20"/>
                              <w:szCs w:val="20"/>
                              <w:lang w:val="en-US"/>
                            </w:rPr>
                            <w:t>/</w:t>
                          </w:r>
                          <w:proofErr w:type="gramEnd"/>
                          <w:r w:rsidR="00D16304">
                            <w:rPr>
                              <w:rFonts w:ascii="Times New Roman" w:hAnsi="Times New Roman" w:cs="Times New Roman"/>
                              <w:b/>
                              <w:bCs/>
                              <w:color w:val="FFFF00"/>
                              <w:sz w:val="20"/>
                              <w:szCs w:val="20"/>
                              <w:lang w:val="en-US"/>
                            </w:rPr>
                            <w:t>Mon</w:t>
                          </w:r>
                          <w:r w:rsidR="0000419A">
                            <w:rPr>
                              <w:rFonts w:ascii="Times New Roman" w:hAnsi="Times New Roman" w:cs="Times New Roman"/>
                              <w:b/>
                              <w:bCs/>
                              <w:color w:val="FFFF00"/>
                              <w:sz w:val="20"/>
                              <w:szCs w:val="20"/>
                              <w:lang w:val="en-US"/>
                            </w:rPr>
                            <w:t>.</w:t>
                          </w:r>
                          <w:r w:rsidR="00EB24F0">
                            <w:rPr>
                              <w:rFonts w:ascii="Times New Roman" w:hAnsi="Times New Roman" w:cs="Times New Roman"/>
                              <w:b/>
                              <w:bCs/>
                              <w:color w:val="FFFF00"/>
                              <w:sz w:val="20"/>
                              <w:szCs w:val="20"/>
                              <w:lang w:val="en-US"/>
                            </w:rPr>
                            <w:t>, 20XX</w:t>
                          </w:r>
                          <w:r w:rsidR="00B80AC2" w:rsidRPr="00870149">
                            <w:rPr>
                              <w:rFonts w:ascii="Times New Roman" w:hAnsi="Times New Roman" w:cs="Times New Roman"/>
                              <w:b/>
                              <w:bCs/>
                              <w:color w:val="FFFF00"/>
                              <w:sz w:val="20"/>
                              <w:szCs w:val="20"/>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CBA3C3" id="Retângulo 19" o:spid="_x0000_s1026" style="position:absolute;margin-left:0;margin-top:13.35pt;width:546pt;height:20.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" fillcolor="#002060" strokecolor="#002060" strokeweight="1pt">
              <v:textbox>
                <w:txbxContent>
                  <w:p w14:paraId="5A6F9CE9" w14:textId="5C763002" w:rsidR="00DA021A" w:rsidRPr="00870149" w:rsidRDefault="00CB7C4F" w:rsidP="00DA021A">
                    <w:pPr>
                      <w:jc w:val="center"/>
                      <w:rPr>
                        <w:b/>
                        <w:bCs/>
                        <w:color w:val="FFFF00"/>
                        <w:lang w:val="en-US"/>
                      </w:rPr>
                    </w:pPr>
                    <w:r w:rsidRPr="00FE05FB">
                      <w:rPr>
                        <w:rFonts w:ascii="Times New Roman" w:hAnsi="Times New Roman" w:cs="Times New Roman"/>
                        <w:b/>
                        <w:bCs/>
                        <w:i/>
                        <w:iCs/>
                        <w:color w:val="FFFF00"/>
                        <w:sz w:val="20"/>
                        <w:szCs w:val="20"/>
                        <w:lang w:val="en-US"/>
                      </w:rPr>
                      <w:t>Pardeshi and Deshmukh</w:t>
                    </w:r>
                    <w:r w:rsidR="00DA021A" w:rsidRPr="00FE05FB">
                      <w:rPr>
                        <w:rFonts w:ascii="Times New Roman" w:hAnsi="Times New Roman" w:cs="Times New Roman"/>
                        <w:b/>
                        <w:bCs/>
                        <w:i/>
                        <w:iCs/>
                        <w:color w:val="FFFF00"/>
                        <w:sz w:val="20"/>
                        <w:szCs w:val="20"/>
                        <w:lang w:val="en-US"/>
                      </w:rPr>
                      <w:t>,</w:t>
                    </w:r>
                    <w:r w:rsidR="00DA021A" w:rsidRPr="00FE05FB">
                      <w:rPr>
                        <w:rFonts w:ascii="Times New Roman" w:hAnsi="Times New Roman" w:cs="Times New Roman"/>
                        <w:b/>
                        <w:bCs/>
                        <w:color w:val="FFFF00"/>
                        <w:sz w:val="20"/>
                        <w:szCs w:val="20"/>
                        <w:lang w:val="en-US"/>
                      </w:rPr>
                      <w:t xml:space="preserve"> ITEGAM-JETIA</w:t>
                    </w:r>
                    <w:r w:rsidR="002200C0">
                      <w:rPr>
                        <w:rFonts w:ascii="Times New Roman" w:hAnsi="Times New Roman" w:cs="Times New Roman"/>
                        <w:b/>
                        <w:bCs/>
                        <w:color w:val="FFFF00"/>
                        <w:sz w:val="20"/>
                        <w:szCs w:val="20"/>
                        <w:lang w:val="en-US"/>
                      </w:rPr>
                      <w:t>,</w:t>
                    </w:r>
                    <w:r w:rsidR="00DA021A" w:rsidRPr="00FE05FB">
                      <w:rPr>
                        <w:rFonts w:ascii="Times New Roman" w:hAnsi="Times New Roman" w:cs="Times New Roman"/>
                        <w:b/>
                        <w:bCs/>
                        <w:color w:val="FFFF00"/>
                        <w:sz w:val="20"/>
                        <w:szCs w:val="20"/>
                        <w:lang w:val="en-US"/>
                      </w:rPr>
                      <w:t xml:space="preserve"> </w:t>
                    </w:r>
                    <w:r w:rsidR="00D16304" w:rsidRPr="002200C0">
                      <w:rPr>
                        <w:rFonts w:ascii="Times New Roman" w:hAnsi="Times New Roman" w:cs="Times New Roman"/>
                        <w:b/>
                        <w:bCs/>
                        <w:color w:val="FFFF00"/>
                        <w:sz w:val="20"/>
                        <w:szCs w:val="20"/>
                        <w:lang w:val="en-US"/>
                      </w:rPr>
                      <w:t xml:space="preserve">Manaus, </w:t>
                    </w:r>
                    <w:proofErr w:type="spellStart"/>
                    <w:r w:rsidR="00870149" w:rsidRPr="002200C0">
                      <w:rPr>
                        <w:rFonts w:ascii="Times New Roman" w:hAnsi="Times New Roman" w:cs="Times New Roman"/>
                        <w:b/>
                        <w:bCs/>
                        <w:color w:val="FFFF00"/>
                        <w:sz w:val="20"/>
                        <w:szCs w:val="20"/>
                        <w:lang w:val="en-US"/>
                      </w:rPr>
                      <w:t>v.</w:t>
                    </w:r>
                    <w:r w:rsidRPr="002200C0">
                      <w:rPr>
                        <w:rFonts w:ascii="Times New Roman" w:hAnsi="Times New Roman" w:cs="Times New Roman"/>
                        <w:b/>
                        <w:bCs/>
                        <w:color w:val="FFFF00"/>
                        <w:sz w:val="20"/>
                        <w:szCs w:val="20"/>
                        <w:lang w:val="en-US"/>
                      </w:rPr>
                      <w:t>XX</w:t>
                    </w:r>
                    <w:proofErr w:type="spellEnd"/>
                    <w:r w:rsidR="00870149" w:rsidRPr="002200C0">
                      <w:rPr>
                        <w:rFonts w:ascii="Times New Roman" w:hAnsi="Times New Roman" w:cs="Times New Roman"/>
                        <w:b/>
                        <w:bCs/>
                        <w:color w:val="FFFF00"/>
                        <w:sz w:val="20"/>
                        <w:szCs w:val="20"/>
                        <w:lang w:val="en-US"/>
                      </w:rPr>
                      <w:t xml:space="preserve"> </w:t>
                    </w:r>
                    <w:proofErr w:type="spellStart"/>
                    <w:r w:rsidR="00870149" w:rsidRPr="002200C0">
                      <w:rPr>
                        <w:rFonts w:ascii="Times New Roman" w:hAnsi="Times New Roman" w:cs="Times New Roman"/>
                        <w:b/>
                        <w:bCs/>
                        <w:color w:val="FFFF00"/>
                        <w:sz w:val="20"/>
                        <w:szCs w:val="20"/>
                        <w:lang w:val="en-US"/>
                      </w:rPr>
                      <w:t>n.</w:t>
                    </w:r>
                    <w:r w:rsidRPr="002200C0">
                      <w:rPr>
                        <w:rFonts w:ascii="Times New Roman" w:hAnsi="Times New Roman" w:cs="Times New Roman"/>
                        <w:b/>
                        <w:bCs/>
                        <w:color w:val="FFFF00"/>
                        <w:sz w:val="20"/>
                        <w:szCs w:val="20"/>
                        <w:lang w:val="en-US"/>
                      </w:rPr>
                      <w:t>XX</w:t>
                    </w:r>
                    <w:proofErr w:type="spellEnd"/>
                    <w:r w:rsidR="00DA021A" w:rsidRPr="002200C0">
                      <w:rPr>
                        <w:rFonts w:ascii="Times New Roman" w:hAnsi="Times New Roman" w:cs="Times New Roman"/>
                        <w:b/>
                        <w:bCs/>
                        <w:color w:val="FFFF00"/>
                        <w:sz w:val="20"/>
                        <w:szCs w:val="20"/>
                        <w:lang w:val="en-US"/>
                      </w:rPr>
                      <w:t>, p</w:t>
                    </w:r>
                    <w:r w:rsidR="00EB24F0" w:rsidRPr="002200C0">
                      <w:rPr>
                        <w:rFonts w:ascii="Times New Roman" w:hAnsi="Times New Roman" w:cs="Times New Roman"/>
                        <w:b/>
                        <w:bCs/>
                        <w:color w:val="FFFF00"/>
                        <w:sz w:val="20"/>
                        <w:szCs w:val="20"/>
                        <w:lang w:val="en-US"/>
                      </w:rPr>
                      <w:t>.</w:t>
                    </w:r>
                    <w:r w:rsidR="00DA021A" w:rsidRPr="002200C0">
                      <w:rPr>
                        <w:rFonts w:ascii="Times New Roman" w:hAnsi="Times New Roman" w:cs="Times New Roman"/>
                        <w:b/>
                        <w:bCs/>
                        <w:color w:val="FFFF00"/>
                        <w:sz w:val="20"/>
                        <w:szCs w:val="20"/>
                        <w:lang w:val="en-US"/>
                      </w:rPr>
                      <w:t xml:space="preserve"> </w:t>
                    </w:r>
                    <w:r w:rsidRPr="002200C0">
                      <w:rPr>
                        <w:rFonts w:ascii="Times New Roman" w:hAnsi="Times New Roman" w:cs="Times New Roman"/>
                        <w:b/>
                        <w:bCs/>
                        <w:color w:val="FFFF00"/>
                        <w:sz w:val="20"/>
                        <w:szCs w:val="20"/>
                        <w:lang w:val="en-US"/>
                      </w:rPr>
                      <w:t>XX</w:t>
                    </w:r>
                    <w:r w:rsidR="008A020A" w:rsidRPr="002200C0">
                      <w:rPr>
                        <w:rFonts w:ascii="Times New Roman" w:hAnsi="Times New Roman" w:cs="Times New Roman"/>
                        <w:b/>
                        <w:bCs/>
                        <w:color w:val="FFFF00"/>
                        <w:sz w:val="20"/>
                        <w:szCs w:val="20"/>
                        <w:lang w:val="en-US"/>
                      </w:rPr>
                      <w:t>-</w:t>
                    </w:r>
                    <w:r w:rsidRPr="002200C0">
                      <w:rPr>
                        <w:rFonts w:ascii="Times New Roman" w:hAnsi="Times New Roman" w:cs="Times New Roman"/>
                        <w:b/>
                        <w:bCs/>
                        <w:color w:val="FFFF00"/>
                        <w:sz w:val="20"/>
                        <w:szCs w:val="20"/>
                        <w:lang w:val="en-US"/>
                      </w:rPr>
                      <w:t>XX</w:t>
                    </w:r>
                    <w:r w:rsidR="002200C0">
                      <w:rPr>
                        <w:rFonts w:ascii="Times New Roman" w:hAnsi="Times New Roman" w:cs="Times New Roman"/>
                        <w:b/>
                        <w:bCs/>
                        <w:color w:val="FFFF00"/>
                        <w:sz w:val="20"/>
                        <w:szCs w:val="20"/>
                        <w:lang w:val="en-US"/>
                      </w:rPr>
                      <w:t>,</w:t>
                    </w:r>
                    <w:r w:rsidR="00DA021A" w:rsidRPr="002200C0">
                      <w:rPr>
                        <w:rFonts w:ascii="Times New Roman" w:hAnsi="Times New Roman" w:cs="Times New Roman"/>
                        <w:b/>
                        <w:bCs/>
                        <w:color w:val="FFFF00"/>
                        <w:sz w:val="20"/>
                        <w:szCs w:val="20"/>
                        <w:lang w:val="en-US"/>
                      </w:rPr>
                      <w:t xml:space="preserve"> </w:t>
                    </w:r>
                    <w:r w:rsidRPr="00870149">
                      <w:rPr>
                        <w:rFonts w:ascii="Times New Roman" w:hAnsi="Times New Roman" w:cs="Times New Roman"/>
                        <w:b/>
                        <w:bCs/>
                        <w:color w:val="FFFF00"/>
                        <w:sz w:val="20"/>
                        <w:szCs w:val="20"/>
                        <w:lang w:val="en-US"/>
                      </w:rPr>
                      <w:t>Mon</w:t>
                    </w:r>
                    <w:proofErr w:type="gramStart"/>
                    <w:r w:rsidR="0000419A">
                      <w:rPr>
                        <w:rFonts w:ascii="Times New Roman" w:hAnsi="Times New Roman" w:cs="Times New Roman"/>
                        <w:b/>
                        <w:bCs/>
                        <w:color w:val="FFFF00"/>
                        <w:sz w:val="20"/>
                        <w:szCs w:val="20"/>
                        <w:lang w:val="en-US"/>
                      </w:rPr>
                      <w:t>.</w:t>
                    </w:r>
                    <w:r w:rsidR="00D16304">
                      <w:rPr>
                        <w:rFonts w:ascii="Times New Roman" w:hAnsi="Times New Roman" w:cs="Times New Roman"/>
                        <w:b/>
                        <w:bCs/>
                        <w:color w:val="FFFF00"/>
                        <w:sz w:val="20"/>
                        <w:szCs w:val="20"/>
                        <w:lang w:val="en-US"/>
                      </w:rPr>
                      <w:t>/</w:t>
                    </w:r>
                    <w:proofErr w:type="gramEnd"/>
                    <w:r w:rsidR="00D16304">
                      <w:rPr>
                        <w:rFonts w:ascii="Times New Roman" w:hAnsi="Times New Roman" w:cs="Times New Roman"/>
                        <w:b/>
                        <w:bCs/>
                        <w:color w:val="FFFF00"/>
                        <w:sz w:val="20"/>
                        <w:szCs w:val="20"/>
                        <w:lang w:val="en-US"/>
                      </w:rPr>
                      <w:t>Mon</w:t>
                    </w:r>
                    <w:r w:rsidR="0000419A">
                      <w:rPr>
                        <w:rFonts w:ascii="Times New Roman" w:hAnsi="Times New Roman" w:cs="Times New Roman"/>
                        <w:b/>
                        <w:bCs/>
                        <w:color w:val="FFFF00"/>
                        <w:sz w:val="20"/>
                        <w:szCs w:val="20"/>
                        <w:lang w:val="en-US"/>
                      </w:rPr>
                      <w:t>.</w:t>
                    </w:r>
                    <w:r w:rsidR="00EB24F0">
                      <w:rPr>
                        <w:rFonts w:ascii="Times New Roman" w:hAnsi="Times New Roman" w:cs="Times New Roman"/>
                        <w:b/>
                        <w:bCs/>
                        <w:color w:val="FFFF00"/>
                        <w:sz w:val="20"/>
                        <w:szCs w:val="20"/>
                        <w:lang w:val="en-US"/>
                      </w:rPr>
                      <w:t>, 20XX</w:t>
                    </w:r>
                    <w:r w:rsidR="00B80AC2" w:rsidRPr="00870149">
                      <w:rPr>
                        <w:rFonts w:ascii="Times New Roman" w:hAnsi="Times New Roman" w:cs="Times New Roman"/>
                        <w:b/>
                        <w:bCs/>
                        <w:color w:val="FFFF00"/>
                        <w:sz w:val="20"/>
                        <w:szCs w:val="20"/>
                        <w:lang w:val="en-US"/>
                      </w:rPr>
                      <w:t>.</w:t>
                    </w:r>
                  </w:p>
                </w:txbxContent>
              </v:textbox>
              <w10:wrap anchorx="margin"/>
            </v:rect>
          </w:pict>
        </mc:Fallback>
      </mc:AlternateContent>
    </w:r>
  </w:p>
  <w:p w14:paraId="0487010F" w14:textId="3111835F" w:rsidR="00DA021A" w:rsidRDefault="00DA021A">
    <w:pPr>
      <w:pStyle w:val="Cabealho"/>
    </w:pPr>
  </w:p>
  <w:p w14:paraId="4C259FC8" w14:textId="77777777" w:rsidR="00DA021A" w:rsidRPr="00F637C8" w:rsidRDefault="00DA021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7F9432" w14:textId="77777777" w:rsidR="00DA021A" w:rsidRPr="00276B1A" w:rsidRDefault="00DA021A" w:rsidP="00DA021A">
    <w:pPr>
      <w:spacing w:after="0" w:line="240" w:lineRule="auto"/>
      <w:ind w:left="-1701" w:right="-849"/>
      <w:jc w:val="center"/>
      <w:rPr>
        <w:b/>
        <w:sz w:val="31"/>
        <w:szCs w:val="31"/>
        <w:lang w:val="en-US"/>
      </w:rPr>
    </w:pPr>
    <w:r w:rsidRPr="00276B1A">
      <w:rPr>
        <w:noProof/>
        <w:sz w:val="31"/>
        <w:szCs w:val="31"/>
        <w:lang w:eastAsia="pt-BR"/>
      </w:rPr>
      <mc:AlternateContent>
        <mc:Choice Requires="wps">
          <w:drawing>
            <wp:anchor distT="0" distB="0" distL="114300" distR="114300" simplePos="0" relativeHeight="251659264" behindDoc="0" locked="0" layoutInCell="1" allowOverlap="1" wp14:anchorId="43EE8B2F" wp14:editId="315E68EF">
              <wp:simplePos x="0" y="0"/>
              <wp:positionH relativeFrom="page">
                <wp:posOffset>271304</wp:posOffset>
              </wp:positionH>
              <wp:positionV relativeFrom="paragraph">
                <wp:posOffset>241956</wp:posOffset>
              </wp:positionV>
              <wp:extent cx="6929225" cy="5024"/>
              <wp:effectExtent l="0" t="0" r="24130" b="33655"/>
              <wp:wrapNone/>
              <wp:docPr id="21" name="Conector reto 21"/>
              <wp:cNvGraphicFramePr/>
              <a:graphic xmlns:a="http://schemas.openxmlformats.org/drawingml/2006/main">
                <a:graphicData uri="http://schemas.microsoft.com/office/word/2010/wordprocessingShape">
                  <wps:wsp>
                    <wps:cNvCnPr/>
                    <wps:spPr>
                      <a:xfrm>
                        <a:off x="0" y="0"/>
                        <a:ext cx="6929225" cy="5024"/>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7E786E7" id="Conector reto 21"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1.35pt,19.05pt" to="566.9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" strokecolor="#002060" strokeweight="1.5pt">
              <v:stroke joinstyle="miter"/>
              <w10:wrap anchorx="page"/>
            </v:line>
          </w:pict>
        </mc:Fallback>
      </mc:AlternateContent>
    </w:r>
    <w:r w:rsidRPr="00276B1A">
      <w:rPr>
        <w:b/>
        <w:sz w:val="31"/>
        <w:szCs w:val="31"/>
        <w:lang w:val="en-US"/>
      </w:rPr>
      <w:t>Journal of Engineering and Technology for Industrial Applications</w:t>
    </w:r>
  </w:p>
  <w:p w14:paraId="116505FA" w14:textId="77777777" w:rsidR="00DA021A" w:rsidRPr="004001A4" w:rsidRDefault="00DA021A" w:rsidP="00DA021A">
    <w:pPr>
      <w:spacing w:after="0" w:line="240" w:lineRule="auto"/>
      <w:ind w:left="-1701" w:right="-849"/>
      <w:jc w:val="center"/>
      <w:rPr>
        <w:b/>
        <w:color w:val="1F4E79" w:themeColor="accent1" w:themeShade="80"/>
        <w:sz w:val="16"/>
        <w:szCs w:val="16"/>
        <w:lang w:val="en-US"/>
      </w:rPr>
    </w:pPr>
    <w:r>
      <w:rPr>
        <w:b/>
        <w:noProof/>
        <w:sz w:val="12"/>
        <w:szCs w:val="12"/>
        <w:lang w:eastAsia="pt-BR"/>
      </w:rPr>
      <mc:AlternateContent>
        <mc:Choice Requires="wps">
          <w:drawing>
            <wp:anchor distT="0" distB="0" distL="114300" distR="114300" simplePos="0" relativeHeight="251660288" behindDoc="1" locked="0" layoutInCell="1" allowOverlap="1" wp14:anchorId="0DEC7105" wp14:editId="42B87846">
              <wp:simplePos x="0" y="0"/>
              <wp:positionH relativeFrom="column">
                <wp:posOffset>14605</wp:posOffset>
              </wp:positionH>
              <wp:positionV relativeFrom="paragraph">
                <wp:posOffset>117475</wp:posOffset>
              </wp:positionV>
              <wp:extent cx="5331460" cy="932815"/>
              <wp:effectExtent l="0" t="0" r="21590" b="19685"/>
              <wp:wrapNone/>
              <wp:docPr id="1" name="Retângulo 1"/>
              <wp:cNvGraphicFramePr/>
              <a:graphic xmlns:a="http://schemas.openxmlformats.org/drawingml/2006/main">
                <a:graphicData uri="http://schemas.microsoft.com/office/word/2010/wordprocessingShape">
                  <wps:wsp>
                    <wps:cNvSpPr/>
                    <wps:spPr>
                      <a:xfrm>
                        <a:off x="0" y="0"/>
                        <a:ext cx="5331460" cy="932815"/>
                      </a:xfrm>
                      <a:prstGeom prst="rect">
                        <a:avLst/>
                      </a:prstGeom>
                      <a:solidFill>
                        <a:schemeClr val="tx2">
                          <a:lumMod val="40000"/>
                          <a:lumOff val="6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4420434" id="Retângulo 1" o:spid="_x0000_s1026" style="position:absolute;margin-left:1.15pt;margin-top:9.25pt;width:419.8pt;height:73.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" fillcolor="#acb9ca [1311]" strokecolor="white [3212]" strokeweight="1pt"/>
          </w:pict>
        </mc:Fallback>
      </mc:AlternateContent>
    </w:r>
    <w:r>
      <w:rPr>
        <w:b/>
        <w:noProof/>
        <w:sz w:val="12"/>
        <w:szCs w:val="12"/>
        <w:lang w:eastAsia="pt-BR"/>
      </w:rPr>
      <w:drawing>
        <wp:anchor distT="0" distB="0" distL="114300" distR="114300" simplePos="0" relativeHeight="251662336" behindDoc="0" locked="0" layoutInCell="1" allowOverlap="1" wp14:anchorId="39EAFCC2" wp14:editId="06EF6477">
          <wp:simplePos x="0" y="0"/>
          <wp:positionH relativeFrom="page">
            <wp:posOffset>277495</wp:posOffset>
          </wp:positionH>
          <wp:positionV relativeFrom="paragraph">
            <wp:posOffset>128482</wp:posOffset>
          </wp:positionV>
          <wp:extent cx="762967" cy="776817"/>
          <wp:effectExtent l="0" t="0" r="0" b="4445"/>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ITEGAM-JETIA TIF.tiff"/>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2967" cy="776817"/>
                  </a:xfrm>
                  <a:prstGeom prst="rect">
                    <a:avLst/>
                  </a:prstGeom>
                </pic:spPr>
              </pic:pic>
            </a:graphicData>
          </a:graphic>
          <wp14:sizeRelH relativeFrom="page">
            <wp14:pctWidth>0</wp14:pctWidth>
          </wp14:sizeRelH>
          <wp14:sizeRelV relativeFrom="page">
            <wp14:pctHeight>0</wp14:pctHeight>
          </wp14:sizeRelV>
        </wp:anchor>
      </w:drawing>
    </w:r>
  </w:p>
  <w:p w14:paraId="6BA30A0E" w14:textId="77777777" w:rsidR="00DA021A" w:rsidRPr="00914D29" w:rsidRDefault="00DA021A" w:rsidP="00DA021A">
    <w:pPr>
      <w:spacing w:after="0" w:line="240" w:lineRule="auto"/>
      <w:ind w:left="-1701" w:right="-849"/>
      <w:jc w:val="center"/>
      <w:rPr>
        <w:rFonts w:ascii="Neo Sans Std" w:hAnsi="Neo Sans Std"/>
        <w:b/>
        <w:color w:val="1F4E79" w:themeColor="accent1" w:themeShade="80"/>
        <w:sz w:val="52"/>
        <w:szCs w:val="52"/>
        <w:lang w:val="en-US"/>
      </w:rPr>
    </w:pPr>
    <w:r>
      <w:rPr>
        <w:rFonts w:ascii="Neo Sans Std" w:hAnsi="Neo Sans Std"/>
        <w:b/>
        <w:noProof/>
        <w:color w:val="1F4E79" w:themeColor="accent1" w:themeShade="80"/>
        <w:sz w:val="44"/>
        <w:szCs w:val="44"/>
        <w:lang w:eastAsia="pt-BR"/>
      </w:rPr>
      <w:drawing>
        <wp:anchor distT="0" distB="0" distL="114300" distR="114300" simplePos="0" relativeHeight="251663360" behindDoc="0" locked="0" layoutInCell="1" allowOverlap="1" wp14:anchorId="28EDCF5F" wp14:editId="46393472">
          <wp:simplePos x="0" y="0"/>
          <wp:positionH relativeFrom="column">
            <wp:posOffset>5391003</wp:posOffset>
          </wp:positionH>
          <wp:positionV relativeFrom="paragraph">
            <wp:posOffset>8095</wp:posOffset>
          </wp:positionV>
          <wp:extent cx="728869" cy="913736"/>
          <wp:effectExtent l="0" t="0" r="0" b="127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a_revista2.jpg"/>
                  <pic:cNvPicPr/>
                </pic:nvPicPr>
                <pic:blipFill>
                  <a:blip r:embed="rId2">
                    <a:extLst>
                      <a:ext uri="{28A0092B-C50C-407E-A947-70E740481C1C}">
                        <a14:useLocalDpi xmlns:a14="http://schemas.microsoft.com/office/drawing/2010/main" val="0"/>
                      </a:ext>
                    </a:extLst>
                  </a:blip>
                  <a:stretch>
                    <a:fillRect/>
                  </a:stretch>
                </pic:blipFill>
                <pic:spPr>
                  <a:xfrm>
                    <a:off x="0" y="0"/>
                    <a:ext cx="731281" cy="916759"/>
                  </a:xfrm>
                  <a:prstGeom prst="rect">
                    <a:avLst/>
                  </a:prstGeom>
                </pic:spPr>
              </pic:pic>
            </a:graphicData>
          </a:graphic>
          <wp14:sizeRelH relativeFrom="page">
            <wp14:pctWidth>0</wp14:pctWidth>
          </wp14:sizeRelH>
          <wp14:sizeRelV relativeFrom="page">
            <wp14:pctHeight>0</wp14:pctHeight>
          </wp14:sizeRelV>
        </wp:anchor>
      </w:drawing>
    </w:r>
    <w:r w:rsidRPr="00914D29">
      <w:rPr>
        <w:rFonts w:ascii="Neo Sans Std" w:hAnsi="Neo Sans Std"/>
        <w:b/>
        <w:color w:val="002060"/>
        <w:sz w:val="52"/>
        <w:szCs w:val="52"/>
        <w:lang w:val="en-US"/>
      </w:rPr>
      <w:t>ITEGAM-JETIA</w:t>
    </w:r>
  </w:p>
  <w:p w14:paraId="68C5AACD" w14:textId="77777777" w:rsidR="00DA021A" w:rsidRPr="00914D29" w:rsidRDefault="00DA021A" w:rsidP="00DA021A">
    <w:pPr>
      <w:spacing w:after="0"/>
      <w:ind w:left="-1701" w:right="-849"/>
      <w:jc w:val="center"/>
      <w:rPr>
        <w:rFonts w:cstheme="minorHAnsi"/>
        <w:b/>
        <w:bCs/>
        <w:sz w:val="4"/>
        <w:szCs w:val="4"/>
        <w:lang w:val="en-US"/>
      </w:rPr>
    </w:pPr>
  </w:p>
  <w:p w14:paraId="02367416" w14:textId="171AA309" w:rsidR="00DA021A" w:rsidRPr="00914D29" w:rsidRDefault="00DC742B" w:rsidP="00DA021A">
    <w:pPr>
      <w:spacing w:after="0"/>
      <w:ind w:left="-1701" w:right="-849"/>
      <w:jc w:val="center"/>
      <w:rPr>
        <w:rFonts w:cstheme="minorHAnsi"/>
        <w:b/>
        <w:bCs/>
        <w:sz w:val="24"/>
        <w:szCs w:val="24"/>
        <w:lang w:val="en-US"/>
      </w:rPr>
    </w:pPr>
    <w:r w:rsidRPr="002200C0">
      <w:rPr>
        <w:rFonts w:cstheme="minorHAnsi"/>
        <w:b/>
        <w:bCs/>
        <w:sz w:val="24"/>
        <w:szCs w:val="24"/>
        <w:highlight w:val="yellow"/>
      </w:rPr>
      <w:t xml:space="preserve">Manaus, </w:t>
    </w:r>
    <w:proofErr w:type="spellStart"/>
    <w:proofErr w:type="gramStart"/>
    <w:r w:rsidRPr="002200C0">
      <w:rPr>
        <w:rFonts w:cstheme="minorHAnsi"/>
        <w:b/>
        <w:bCs/>
        <w:sz w:val="24"/>
        <w:szCs w:val="24"/>
        <w:highlight w:val="yellow"/>
      </w:rPr>
      <w:t>v.XX</w:t>
    </w:r>
    <w:proofErr w:type="spellEnd"/>
    <w:proofErr w:type="gramEnd"/>
    <w:r w:rsidRPr="002200C0">
      <w:rPr>
        <w:rFonts w:cstheme="minorHAnsi"/>
        <w:b/>
        <w:bCs/>
        <w:sz w:val="24"/>
        <w:szCs w:val="24"/>
        <w:highlight w:val="yellow"/>
      </w:rPr>
      <w:t xml:space="preserve"> </w:t>
    </w:r>
    <w:proofErr w:type="spellStart"/>
    <w:r w:rsidRPr="002200C0">
      <w:rPr>
        <w:rFonts w:cstheme="minorHAnsi"/>
        <w:b/>
        <w:bCs/>
        <w:sz w:val="24"/>
        <w:szCs w:val="24"/>
        <w:highlight w:val="yellow"/>
      </w:rPr>
      <w:t>n.XX</w:t>
    </w:r>
    <w:proofErr w:type="spellEnd"/>
    <w:r w:rsidRPr="002200C0">
      <w:rPr>
        <w:rFonts w:cstheme="minorHAnsi"/>
        <w:b/>
        <w:bCs/>
        <w:sz w:val="24"/>
        <w:szCs w:val="24"/>
        <w:highlight w:val="yellow"/>
      </w:rPr>
      <w:t xml:space="preserve">, p. XX-XX. </w:t>
    </w:r>
    <w:r w:rsidRPr="00DC742B">
      <w:rPr>
        <w:rFonts w:cstheme="minorHAnsi"/>
        <w:b/>
        <w:bCs/>
        <w:sz w:val="24"/>
        <w:szCs w:val="24"/>
        <w:highlight w:val="yellow"/>
        <w:lang w:val="en-US"/>
      </w:rPr>
      <w:t>Mon</w:t>
    </w:r>
    <w:r w:rsidR="00476FD2">
      <w:rPr>
        <w:rFonts w:cstheme="minorHAnsi"/>
        <w:b/>
        <w:bCs/>
        <w:sz w:val="24"/>
        <w:szCs w:val="24"/>
        <w:highlight w:val="yellow"/>
        <w:lang w:val="en-US"/>
      </w:rPr>
      <w:t>.</w:t>
    </w:r>
    <w:r w:rsidRPr="00DC742B">
      <w:rPr>
        <w:rFonts w:cstheme="minorHAnsi"/>
        <w:b/>
        <w:bCs/>
        <w:sz w:val="24"/>
        <w:szCs w:val="24"/>
        <w:highlight w:val="yellow"/>
        <w:lang w:val="en-US"/>
      </w:rPr>
      <w:t>/Mon</w:t>
    </w:r>
    <w:r w:rsidR="00476FD2">
      <w:rPr>
        <w:rFonts w:cstheme="minorHAnsi"/>
        <w:b/>
        <w:bCs/>
        <w:sz w:val="24"/>
        <w:szCs w:val="24"/>
        <w:highlight w:val="yellow"/>
        <w:lang w:val="en-US"/>
      </w:rPr>
      <w:t>.</w:t>
    </w:r>
    <w:r w:rsidRPr="00DC742B">
      <w:rPr>
        <w:rFonts w:cstheme="minorHAnsi"/>
        <w:b/>
        <w:bCs/>
        <w:sz w:val="24"/>
        <w:szCs w:val="24"/>
        <w:highlight w:val="yellow"/>
        <w:lang w:val="en-US"/>
      </w:rPr>
      <w:t>, 20XX.</w:t>
    </w:r>
  </w:p>
  <w:p w14:paraId="7E101BE6" w14:textId="61FBD44A" w:rsidR="00DA021A" w:rsidRPr="002200C0" w:rsidRDefault="00DA021A" w:rsidP="00DA021A">
    <w:pPr>
      <w:pStyle w:val="Cabealho"/>
      <w:ind w:left="-1701" w:right="-849"/>
      <w:jc w:val="center"/>
      <w:rPr>
        <w:rFonts w:cstheme="minorHAnsi"/>
        <w:bCs/>
        <w:sz w:val="24"/>
        <w:szCs w:val="24"/>
        <w:lang w:val="en-US" w:eastAsia="pt-BR"/>
      </w:rPr>
    </w:pPr>
    <w:r w:rsidRPr="00FE05FB">
      <w:rPr>
        <w:rStyle w:val="Hyperlink"/>
        <w:rFonts w:cstheme="minorHAnsi"/>
        <w:b/>
        <w:bCs/>
        <w:noProof/>
        <w:sz w:val="24"/>
        <w:szCs w:val="24"/>
        <w:highlight w:val="yellow"/>
        <w:lang w:eastAsia="pt-BR"/>
      </w:rPr>
      <mc:AlternateContent>
        <mc:Choice Requires="wps">
          <w:drawing>
            <wp:anchor distT="0" distB="0" distL="114300" distR="114300" simplePos="0" relativeHeight="251661312" behindDoc="0" locked="0" layoutInCell="1" allowOverlap="1" wp14:anchorId="1B9DD774" wp14:editId="115F2F0C">
              <wp:simplePos x="0" y="0"/>
              <wp:positionH relativeFrom="column">
                <wp:posOffset>-868045</wp:posOffset>
              </wp:positionH>
              <wp:positionV relativeFrom="paragraph">
                <wp:posOffset>111865</wp:posOffset>
              </wp:positionV>
              <wp:extent cx="925830" cy="180975"/>
              <wp:effectExtent l="0" t="0" r="762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5830" cy="180975"/>
                      </a:xfrm>
                      <a:prstGeom prst="rect">
                        <a:avLst/>
                      </a:prstGeom>
                      <a:noFill/>
                      <a:ln w="9525">
                        <a:noFill/>
                        <a:miter lim="800000"/>
                        <a:headEnd/>
                        <a:tailEnd/>
                      </a:ln>
                    </wps:spPr>
                    <wps:txbx>
                      <w:txbxContent>
                        <w:p w14:paraId="1B58CB65" w14:textId="77777777" w:rsidR="00DA021A" w:rsidRPr="006C4A34" w:rsidRDefault="00DA021A" w:rsidP="00DA021A">
                          <w:pPr>
                            <w:spacing w:after="0" w:line="240" w:lineRule="auto"/>
                            <w:ind w:right="45"/>
                            <w:jc w:val="center"/>
                            <w:rPr>
                              <w:rFonts w:cstheme="minorHAnsi"/>
                              <w:b/>
                              <w:sz w:val="12"/>
                              <w:szCs w:val="12"/>
                              <w:lang w:val="en-US"/>
                            </w:rPr>
                          </w:pPr>
                          <w:r w:rsidRPr="006C4A34">
                            <w:rPr>
                              <w:rFonts w:cstheme="minorHAnsi"/>
                              <w:b/>
                              <w:sz w:val="12"/>
                              <w:szCs w:val="12"/>
                              <w:lang w:val="en-US"/>
                            </w:rPr>
                            <w:t>ISSN ONLINE: 2447-0228</w:t>
                          </w:r>
                          <w:r w:rsidRPr="006C4A34">
                            <w:rPr>
                              <w:rFonts w:cstheme="minorHAnsi"/>
                              <w:b/>
                              <w:noProof/>
                              <w:sz w:val="12"/>
                              <w:szCs w:val="12"/>
                              <w:lang w:val="en-US"/>
                            </w:rPr>
                            <w:t xml:space="preserve"> </w:t>
                          </w:r>
                        </w:p>
                      </w:txbxContent>
                    </wps:txbx>
                    <wps:bodyPr rot="0" vert="horz" wrap="square" lIns="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9DD774" id="_x0000_t202" coordsize="21600,21600" o:spt="202" path="m,l,21600r21600,l21600,xe">
              <v:stroke joinstyle="miter"/>
              <v:path gradientshapeok="t" o:connecttype="rect"/>
            </v:shapetype>
            <v:shape id="Caixa de Texto 2" o:spid="_x0000_s1028" type="#_x0000_t202" style="position:absolute;left:0;text-align:left;margin-left:-68.35pt;margin-top:8.8pt;width:72.9pt;height:1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" filled="f" stroked="f">
              <v:textbox inset="0,,0">
                <w:txbxContent>
                  <w:p w14:paraId="1B58CB65" w14:textId="77777777" w:rsidR="00DA021A" w:rsidRPr="006C4A34" w:rsidRDefault="00DA021A" w:rsidP="00DA021A">
                    <w:pPr>
                      <w:spacing w:after="0" w:line="240" w:lineRule="auto"/>
                      <w:ind w:right="45"/>
                      <w:jc w:val="center"/>
                      <w:rPr>
                        <w:rFonts w:cstheme="minorHAnsi"/>
                        <w:b/>
                        <w:sz w:val="12"/>
                        <w:szCs w:val="12"/>
                        <w:lang w:val="en-US"/>
                      </w:rPr>
                    </w:pPr>
                    <w:r w:rsidRPr="006C4A34">
                      <w:rPr>
                        <w:rFonts w:cstheme="minorHAnsi"/>
                        <w:b/>
                        <w:sz w:val="12"/>
                        <w:szCs w:val="12"/>
                        <w:lang w:val="en-US"/>
                      </w:rPr>
                      <w:t>ISSN ONLINE: 2447-0228</w:t>
                    </w:r>
                    <w:r w:rsidRPr="006C4A34">
                      <w:rPr>
                        <w:rFonts w:cstheme="minorHAnsi"/>
                        <w:b/>
                        <w:noProof/>
                        <w:sz w:val="12"/>
                        <w:szCs w:val="12"/>
                        <w:lang w:val="en-US"/>
                      </w:rPr>
                      <w:t xml:space="preserve"> </w:t>
                    </w:r>
                  </w:p>
                </w:txbxContent>
              </v:textbox>
            </v:shape>
          </w:pict>
        </mc:Fallback>
      </mc:AlternateContent>
    </w:r>
    <w:r w:rsidRPr="002200C0">
      <w:rPr>
        <w:rFonts w:cstheme="minorHAnsi"/>
        <w:b/>
        <w:color w:val="000000"/>
        <w:sz w:val="24"/>
        <w:szCs w:val="24"/>
        <w:highlight w:val="yellow"/>
        <w:lang w:val="en-US" w:eastAsia="pt-BR"/>
      </w:rPr>
      <w:t>DOI</w:t>
    </w:r>
    <w:r w:rsidRPr="002200C0">
      <w:rPr>
        <w:rFonts w:cstheme="minorHAnsi"/>
        <w:b/>
        <w:bCs/>
        <w:color w:val="000000"/>
        <w:sz w:val="24"/>
        <w:szCs w:val="24"/>
        <w:highlight w:val="yellow"/>
        <w:lang w:val="en-US" w:eastAsia="pt-BR"/>
      </w:rPr>
      <w:t xml:space="preserve">: </w:t>
    </w:r>
    <w:r w:rsidR="00127CF9" w:rsidRPr="002200C0">
      <w:rPr>
        <w:rFonts w:cstheme="minorHAnsi"/>
        <w:b/>
        <w:bCs/>
        <w:sz w:val="24"/>
        <w:szCs w:val="24"/>
        <w:highlight w:val="yellow"/>
        <w:lang w:val="en-US" w:eastAsia="pt-BR"/>
      </w:rPr>
      <w:t>https://doi.org/10.5935/jetia.</w:t>
    </w:r>
    <w:r w:rsidR="003C7700" w:rsidRPr="002200C0">
      <w:rPr>
        <w:rFonts w:cstheme="minorHAnsi"/>
        <w:b/>
        <w:bCs/>
        <w:sz w:val="24"/>
        <w:szCs w:val="24"/>
        <w:highlight w:val="yellow"/>
        <w:lang w:val="en-US" w:eastAsia="pt-BR"/>
      </w:rPr>
      <w:t>XXXXX</w:t>
    </w:r>
    <w:r w:rsidR="00127CF9" w:rsidRPr="002200C0">
      <w:rPr>
        <w:rFonts w:cstheme="minorHAnsi"/>
        <w:b/>
        <w:bCs/>
        <w:sz w:val="24"/>
        <w:szCs w:val="24"/>
        <w:highlight w:val="yellow"/>
        <w:lang w:val="en-US" w:eastAsia="pt-BR"/>
      </w:rPr>
      <w:t>.</w:t>
    </w:r>
    <w:r w:rsidR="003C7700" w:rsidRPr="002200C0">
      <w:rPr>
        <w:rFonts w:cstheme="minorHAnsi"/>
        <w:b/>
        <w:bCs/>
        <w:sz w:val="24"/>
        <w:szCs w:val="24"/>
        <w:highlight w:val="yellow"/>
        <w:lang w:val="en-US" w:eastAsia="pt-BR"/>
      </w:rPr>
      <w:t>XXX</w:t>
    </w:r>
  </w:p>
  <w:p w14:paraId="4B0B3154" w14:textId="77777777" w:rsidR="00DA021A" w:rsidRPr="002200C0" w:rsidRDefault="00DA021A" w:rsidP="00DA021A">
    <w:pPr>
      <w:pStyle w:val="Cabealho"/>
      <w:ind w:left="-1701" w:right="-849"/>
      <w:rPr>
        <w:rStyle w:val="Hyperlink"/>
        <w:rFonts w:cstheme="minorHAnsi"/>
        <w:bCs/>
        <w:sz w:val="20"/>
        <w:szCs w:val="20"/>
        <w:lang w:val="en-US" w:eastAsia="pt-BR"/>
      </w:rPr>
    </w:pPr>
  </w:p>
  <w:p w14:paraId="07704E24" w14:textId="77777777" w:rsidR="00DA021A" w:rsidRPr="002200C0" w:rsidRDefault="00DA021A" w:rsidP="00DA021A">
    <w:pPr>
      <w:pStyle w:val="Cabealho"/>
      <w:ind w:left="-1701" w:right="-849"/>
      <w:jc w:val="center"/>
      <w:rPr>
        <w:sz w:val="10"/>
        <w:szCs w:val="10"/>
        <w:lang w:val="en-US"/>
      </w:rPr>
    </w:pPr>
  </w:p>
  <w:tbl>
    <w:tblPr>
      <w:tblStyle w:val="Tabelacomgrade"/>
      <w:tblW w:w="10915" w:type="dxa"/>
      <w:tblInd w:w="-1276" w:type="dxa"/>
      <w:tblBorders>
        <w:left w:val="none" w:sz="0" w:space="0" w:color="auto"/>
        <w:right w:val="none" w:sz="0" w:space="0" w:color="auto"/>
        <w:insideH w:val="none" w:sz="0" w:space="0" w:color="auto"/>
        <w:insideV w:val="none" w:sz="0" w:space="0" w:color="auto"/>
      </w:tblBorders>
      <w:shd w:val="clear" w:color="auto" w:fill="002060"/>
      <w:tblLook w:val="04A0" w:firstRow="1" w:lastRow="0" w:firstColumn="1" w:lastColumn="0" w:noHBand="0" w:noVBand="1"/>
    </w:tblPr>
    <w:tblGrid>
      <w:gridCol w:w="10915"/>
    </w:tblGrid>
    <w:tr w:rsidR="00C07A08" w14:paraId="6414B3DF" w14:textId="77777777" w:rsidTr="003F3F36">
      <w:trPr>
        <w:trHeight w:val="425"/>
      </w:trPr>
      <w:tc>
        <w:tcPr>
          <w:tcW w:w="10915" w:type="dxa"/>
          <w:shd w:val="clear" w:color="auto" w:fill="002060"/>
          <w:vAlign w:val="center"/>
        </w:tcPr>
        <w:p w14:paraId="15C28FD6" w14:textId="471FA106" w:rsidR="00C07A08" w:rsidRPr="003312C3" w:rsidRDefault="00C07A08" w:rsidP="00C07A08">
          <w:pPr>
            <w:pStyle w:val="Cabealho"/>
            <w:jc w:val="both"/>
            <w:rPr>
              <w:b/>
              <w:color w:val="FFFFFF" w:themeColor="background1"/>
              <w:sz w:val="24"/>
              <w:szCs w:val="24"/>
            </w:rPr>
          </w:pPr>
          <w:r w:rsidRPr="003312C3">
            <w:rPr>
              <w:b/>
              <w:color w:val="FFFFFF" w:themeColor="background1"/>
              <w:sz w:val="24"/>
              <w:szCs w:val="24"/>
            </w:rPr>
            <w:t>RESEARCH ARTICLE</w:t>
          </w:r>
          <w:r>
            <w:rPr>
              <w:b/>
              <w:color w:val="FFFFFF" w:themeColor="background1"/>
              <w:sz w:val="24"/>
              <w:szCs w:val="24"/>
            </w:rPr>
            <w:t xml:space="preserve">                                                                                                                                             </w:t>
          </w:r>
          <w:r w:rsidRPr="003312C3">
            <w:rPr>
              <w:b/>
              <w:color w:val="FFFFFF" w:themeColor="background1"/>
              <w:sz w:val="24"/>
              <w:szCs w:val="24"/>
            </w:rPr>
            <w:t>OPEN ACCESS</w:t>
          </w:r>
        </w:p>
      </w:tc>
    </w:tr>
  </w:tbl>
  <w:p w14:paraId="6244AEAB" w14:textId="77777777" w:rsidR="000960BC" w:rsidRPr="00DA021A" w:rsidRDefault="000960BC" w:rsidP="00DA021A">
    <w:pPr>
      <w:pStyle w:val="Cabealho"/>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F3F7D"/>
    <w:multiLevelType w:val="hybridMultilevel"/>
    <w:tmpl w:val="09C07D4A"/>
    <w:lvl w:ilvl="0" w:tplc="F6582CCE">
      <w:start w:val="1"/>
      <w:numFmt w:val="decimal"/>
      <w:lvlText w:val="%1."/>
      <w:lvlJc w:val="left"/>
      <w:pPr>
        <w:ind w:left="720" w:hanging="360"/>
      </w:pPr>
      <w:rPr>
        <w:b w:val="0"/>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 w15:restartNumberingAfterBreak="0">
    <w:nsid w:val="194B0F1B"/>
    <w:multiLevelType w:val="hybridMultilevel"/>
    <w:tmpl w:val="0C72E484"/>
    <w:lvl w:ilvl="0" w:tplc="04160005">
      <w:start w:val="1"/>
      <w:numFmt w:val="bullet"/>
      <w:lvlText w:val=""/>
      <w:lvlJc w:val="left"/>
      <w:pPr>
        <w:ind w:left="1429" w:hanging="360"/>
      </w:pPr>
      <w:rPr>
        <w:rFonts w:ascii="Wingdings" w:hAnsi="Wingding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 w15:restartNumberingAfterBreak="0">
    <w:nsid w:val="1ABF3590"/>
    <w:multiLevelType w:val="hybridMultilevel"/>
    <w:tmpl w:val="2F30B8F0"/>
    <w:lvl w:ilvl="0" w:tplc="468E4B32">
      <w:start w:val="1"/>
      <w:numFmt w:val="decimal"/>
      <w:lvlText w:val="%1."/>
      <w:lvlJc w:val="left"/>
      <w:pPr>
        <w:tabs>
          <w:tab w:val="num" w:pos="720"/>
        </w:tabs>
        <w:ind w:left="720" w:hanging="360"/>
      </w:pPr>
    </w:lvl>
    <w:lvl w:ilvl="1" w:tplc="531E0556" w:tentative="1">
      <w:start w:val="1"/>
      <w:numFmt w:val="decimal"/>
      <w:lvlText w:val="%2."/>
      <w:lvlJc w:val="left"/>
      <w:pPr>
        <w:tabs>
          <w:tab w:val="num" w:pos="1440"/>
        </w:tabs>
        <w:ind w:left="1440" w:hanging="360"/>
      </w:pPr>
    </w:lvl>
    <w:lvl w:ilvl="2" w:tplc="32F2E63E" w:tentative="1">
      <w:start w:val="1"/>
      <w:numFmt w:val="decimal"/>
      <w:lvlText w:val="%3."/>
      <w:lvlJc w:val="left"/>
      <w:pPr>
        <w:tabs>
          <w:tab w:val="num" w:pos="2160"/>
        </w:tabs>
        <w:ind w:left="2160" w:hanging="360"/>
      </w:pPr>
    </w:lvl>
    <w:lvl w:ilvl="3" w:tplc="90EC4E08" w:tentative="1">
      <w:start w:val="1"/>
      <w:numFmt w:val="decimal"/>
      <w:lvlText w:val="%4."/>
      <w:lvlJc w:val="left"/>
      <w:pPr>
        <w:tabs>
          <w:tab w:val="num" w:pos="2880"/>
        </w:tabs>
        <w:ind w:left="2880" w:hanging="360"/>
      </w:pPr>
    </w:lvl>
    <w:lvl w:ilvl="4" w:tplc="F4AC0FEC" w:tentative="1">
      <w:start w:val="1"/>
      <w:numFmt w:val="decimal"/>
      <w:lvlText w:val="%5."/>
      <w:lvlJc w:val="left"/>
      <w:pPr>
        <w:tabs>
          <w:tab w:val="num" w:pos="3600"/>
        </w:tabs>
        <w:ind w:left="3600" w:hanging="360"/>
      </w:pPr>
    </w:lvl>
    <w:lvl w:ilvl="5" w:tplc="2354D526" w:tentative="1">
      <w:start w:val="1"/>
      <w:numFmt w:val="decimal"/>
      <w:lvlText w:val="%6."/>
      <w:lvlJc w:val="left"/>
      <w:pPr>
        <w:tabs>
          <w:tab w:val="num" w:pos="4320"/>
        </w:tabs>
        <w:ind w:left="4320" w:hanging="360"/>
      </w:pPr>
    </w:lvl>
    <w:lvl w:ilvl="6" w:tplc="D4D0CD7C" w:tentative="1">
      <w:start w:val="1"/>
      <w:numFmt w:val="decimal"/>
      <w:lvlText w:val="%7."/>
      <w:lvlJc w:val="left"/>
      <w:pPr>
        <w:tabs>
          <w:tab w:val="num" w:pos="5040"/>
        </w:tabs>
        <w:ind w:left="5040" w:hanging="360"/>
      </w:pPr>
    </w:lvl>
    <w:lvl w:ilvl="7" w:tplc="C2F83120" w:tentative="1">
      <w:start w:val="1"/>
      <w:numFmt w:val="decimal"/>
      <w:lvlText w:val="%8."/>
      <w:lvlJc w:val="left"/>
      <w:pPr>
        <w:tabs>
          <w:tab w:val="num" w:pos="5760"/>
        </w:tabs>
        <w:ind w:left="5760" w:hanging="360"/>
      </w:pPr>
    </w:lvl>
    <w:lvl w:ilvl="8" w:tplc="0E0A11D4" w:tentative="1">
      <w:start w:val="1"/>
      <w:numFmt w:val="decimal"/>
      <w:lvlText w:val="%9."/>
      <w:lvlJc w:val="left"/>
      <w:pPr>
        <w:tabs>
          <w:tab w:val="num" w:pos="6480"/>
        </w:tabs>
        <w:ind w:left="6480" w:hanging="360"/>
      </w:pPr>
    </w:lvl>
  </w:abstractNum>
  <w:abstractNum w:abstractNumId="3" w15:restartNumberingAfterBreak="0">
    <w:nsid w:val="1DA150B8"/>
    <w:multiLevelType w:val="hybridMultilevel"/>
    <w:tmpl w:val="6B446C74"/>
    <w:lvl w:ilvl="0" w:tplc="BA7CC6E2">
      <w:start w:val="7"/>
      <w:numFmt w:val="decimal"/>
      <w:lvlText w:val="%1"/>
      <w:lvlJc w:val="left"/>
      <w:pPr>
        <w:ind w:left="972" w:hanging="360"/>
      </w:pPr>
      <w:rPr>
        <w:rFonts w:hint="default"/>
      </w:rPr>
    </w:lvl>
    <w:lvl w:ilvl="1" w:tplc="04160019" w:tentative="1">
      <w:start w:val="1"/>
      <w:numFmt w:val="lowerLetter"/>
      <w:lvlText w:val="%2."/>
      <w:lvlJc w:val="left"/>
      <w:pPr>
        <w:ind w:left="1692" w:hanging="360"/>
      </w:pPr>
    </w:lvl>
    <w:lvl w:ilvl="2" w:tplc="0416001B" w:tentative="1">
      <w:start w:val="1"/>
      <w:numFmt w:val="lowerRoman"/>
      <w:lvlText w:val="%3."/>
      <w:lvlJc w:val="right"/>
      <w:pPr>
        <w:ind w:left="2412" w:hanging="180"/>
      </w:pPr>
    </w:lvl>
    <w:lvl w:ilvl="3" w:tplc="0416000F" w:tentative="1">
      <w:start w:val="1"/>
      <w:numFmt w:val="decimal"/>
      <w:lvlText w:val="%4."/>
      <w:lvlJc w:val="left"/>
      <w:pPr>
        <w:ind w:left="3132" w:hanging="360"/>
      </w:pPr>
    </w:lvl>
    <w:lvl w:ilvl="4" w:tplc="04160019" w:tentative="1">
      <w:start w:val="1"/>
      <w:numFmt w:val="lowerLetter"/>
      <w:lvlText w:val="%5."/>
      <w:lvlJc w:val="left"/>
      <w:pPr>
        <w:ind w:left="3852" w:hanging="360"/>
      </w:pPr>
    </w:lvl>
    <w:lvl w:ilvl="5" w:tplc="0416001B" w:tentative="1">
      <w:start w:val="1"/>
      <w:numFmt w:val="lowerRoman"/>
      <w:lvlText w:val="%6."/>
      <w:lvlJc w:val="right"/>
      <w:pPr>
        <w:ind w:left="4572" w:hanging="180"/>
      </w:pPr>
    </w:lvl>
    <w:lvl w:ilvl="6" w:tplc="0416000F" w:tentative="1">
      <w:start w:val="1"/>
      <w:numFmt w:val="decimal"/>
      <w:lvlText w:val="%7."/>
      <w:lvlJc w:val="left"/>
      <w:pPr>
        <w:ind w:left="5292" w:hanging="360"/>
      </w:pPr>
    </w:lvl>
    <w:lvl w:ilvl="7" w:tplc="04160019" w:tentative="1">
      <w:start w:val="1"/>
      <w:numFmt w:val="lowerLetter"/>
      <w:lvlText w:val="%8."/>
      <w:lvlJc w:val="left"/>
      <w:pPr>
        <w:ind w:left="6012" w:hanging="360"/>
      </w:pPr>
    </w:lvl>
    <w:lvl w:ilvl="8" w:tplc="0416001B" w:tentative="1">
      <w:start w:val="1"/>
      <w:numFmt w:val="lowerRoman"/>
      <w:lvlText w:val="%9."/>
      <w:lvlJc w:val="right"/>
      <w:pPr>
        <w:ind w:left="6732" w:hanging="180"/>
      </w:pPr>
    </w:lvl>
  </w:abstractNum>
  <w:abstractNum w:abstractNumId="4" w15:restartNumberingAfterBreak="0">
    <w:nsid w:val="28B3189C"/>
    <w:multiLevelType w:val="hybridMultilevel"/>
    <w:tmpl w:val="A7A850DA"/>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5" w15:restartNumberingAfterBreak="0">
    <w:nsid w:val="344E5094"/>
    <w:multiLevelType w:val="hybridMultilevel"/>
    <w:tmpl w:val="14288CCC"/>
    <w:lvl w:ilvl="0" w:tplc="33CC9636">
      <w:start w:val="2"/>
      <w:numFmt w:val="bullet"/>
      <w:lvlText w:val="-"/>
      <w:lvlJc w:val="left"/>
      <w:pPr>
        <w:ind w:left="927" w:hanging="360"/>
      </w:pPr>
      <w:rPr>
        <w:rFonts w:ascii="Times New Roman" w:eastAsia="MS Mincho" w:hAnsi="Times New Roman" w:cs="Times New Roman" w:hint="default"/>
      </w:rPr>
    </w:lvl>
    <w:lvl w:ilvl="1" w:tplc="04160003" w:tentative="1">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6" w15:restartNumberingAfterBreak="0">
    <w:nsid w:val="445F3FB3"/>
    <w:multiLevelType w:val="hybridMultilevel"/>
    <w:tmpl w:val="E1BEBE6E"/>
    <w:lvl w:ilvl="0" w:tplc="04160001">
      <w:start w:val="1"/>
      <w:numFmt w:val="bullet"/>
      <w:lvlText w:val=""/>
      <w:lvlJc w:val="left"/>
      <w:pPr>
        <w:ind w:left="1425" w:hanging="360"/>
      </w:pPr>
      <w:rPr>
        <w:rFonts w:ascii="Symbol" w:hAnsi="Symbol" w:hint="default"/>
      </w:rPr>
    </w:lvl>
    <w:lvl w:ilvl="1" w:tplc="04160003" w:tentative="1">
      <w:start w:val="1"/>
      <w:numFmt w:val="bullet"/>
      <w:lvlText w:val="o"/>
      <w:lvlJc w:val="left"/>
      <w:pPr>
        <w:ind w:left="2145" w:hanging="360"/>
      </w:pPr>
      <w:rPr>
        <w:rFonts w:ascii="Courier New" w:hAnsi="Courier New" w:cs="Courier New" w:hint="default"/>
      </w:rPr>
    </w:lvl>
    <w:lvl w:ilvl="2" w:tplc="04160005" w:tentative="1">
      <w:start w:val="1"/>
      <w:numFmt w:val="bullet"/>
      <w:lvlText w:val=""/>
      <w:lvlJc w:val="left"/>
      <w:pPr>
        <w:ind w:left="2865" w:hanging="360"/>
      </w:pPr>
      <w:rPr>
        <w:rFonts w:ascii="Wingdings" w:hAnsi="Wingdings" w:hint="default"/>
      </w:rPr>
    </w:lvl>
    <w:lvl w:ilvl="3" w:tplc="04160001" w:tentative="1">
      <w:start w:val="1"/>
      <w:numFmt w:val="bullet"/>
      <w:lvlText w:val=""/>
      <w:lvlJc w:val="left"/>
      <w:pPr>
        <w:ind w:left="3585" w:hanging="360"/>
      </w:pPr>
      <w:rPr>
        <w:rFonts w:ascii="Symbol" w:hAnsi="Symbol" w:hint="default"/>
      </w:rPr>
    </w:lvl>
    <w:lvl w:ilvl="4" w:tplc="04160003" w:tentative="1">
      <w:start w:val="1"/>
      <w:numFmt w:val="bullet"/>
      <w:lvlText w:val="o"/>
      <w:lvlJc w:val="left"/>
      <w:pPr>
        <w:ind w:left="4305" w:hanging="360"/>
      </w:pPr>
      <w:rPr>
        <w:rFonts w:ascii="Courier New" w:hAnsi="Courier New" w:cs="Courier New" w:hint="default"/>
      </w:rPr>
    </w:lvl>
    <w:lvl w:ilvl="5" w:tplc="04160005" w:tentative="1">
      <w:start w:val="1"/>
      <w:numFmt w:val="bullet"/>
      <w:lvlText w:val=""/>
      <w:lvlJc w:val="left"/>
      <w:pPr>
        <w:ind w:left="5025" w:hanging="360"/>
      </w:pPr>
      <w:rPr>
        <w:rFonts w:ascii="Wingdings" w:hAnsi="Wingdings" w:hint="default"/>
      </w:rPr>
    </w:lvl>
    <w:lvl w:ilvl="6" w:tplc="04160001" w:tentative="1">
      <w:start w:val="1"/>
      <w:numFmt w:val="bullet"/>
      <w:lvlText w:val=""/>
      <w:lvlJc w:val="left"/>
      <w:pPr>
        <w:ind w:left="5745" w:hanging="360"/>
      </w:pPr>
      <w:rPr>
        <w:rFonts w:ascii="Symbol" w:hAnsi="Symbol" w:hint="default"/>
      </w:rPr>
    </w:lvl>
    <w:lvl w:ilvl="7" w:tplc="04160003" w:tentative="1">
      <w:start w:val="1"/>
      <w:numFmt w:val="bullet"/>
      <w:lvlText w:val="o"/>
      <w:lvlJc w:val="left"/>
      <w:pPr>
        <w:ind w:left="6465" w:hanging="360"/>
      </w:pPr>
      <w:rPr>
        <w:rFonts w:ascii="Courier New" w:hAnsi="Courier New" w:cs="Courier New" w:hint="default"/>
      </w:rPr>
    </w:lvl>
    <w:lvl w:ilvl="8" w:tplc="04160005" w:tentative="1">
      <w:start w:val="1"/>
      <w:numFmt w:val="bullet"/>
      <w:lvlText w:val=""/>
      <w:lvlJc w:val="left"/>
      <w:pPr>
        <w:ind w:left="7185" w:hanging="360"/>
      </w:pPr>
      <w:rPr>
        <w:rFonts w:ascii="Wingdings" w:hAnsi="Wingdings" w:hint="default"/>
      </w:rPr>
    </w:lvl>
  </w:abstractNum>
  <w:abstractNum w:abstractNumId="7" w15:restartNumberingAfterBreak="0">
    <w:nsid w:val="488609EF"/>
    <w:multiLevelType w:val="hybridMultilevel"/>
    <w:tmpl w:val="808282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9E34CE1"/>
    <w:multiLevelType w:val="hybridMultilevel"/>
    <w:tmpl w:val="174629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40F7EAF"/>
    <w:multiLevelType w:val="hybridMultilevel"/>
    <w:tmpl w:val="D556DE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95028F8"/>
    <w:multiLevelType w:val="multilevel"/>
    <w:tmpl w:val="C22C98C8"/>
    <w:lvl w:ilvl="0">
      <w:start w:val="1"/>
      <w:numFmt w:val="upperRoman"/>
      <w:lvlText w:val="%1."/>
      <w:lvlJc w:val="left"/>
      <w:pPr>
        <w:ind w:left="612" w:hanging="720"/>
      </w:pPr>
      <w:rPr>
        <w:rFonts w:hint="default"/>
        <w:color w:val="000000"/>
      </w:rPr>
    </w:lvl>
    <w:lvl w:ilvl="1">
      <w:start w:val="2"/>
      <w:numFmt w:val="decimal"/>
      <w:isLgl/>
      <w:lvlText w:val="%1.%2"/>
      <w:lvlJc w:val="left"/>
      <w:pPr>
        <w:ind w:left="702" w:hanging="450"/>
      </w:pPr>
      <w:rPr>
        <w:rFonts w:hint="default"/>
      </w:rPr>
    </w:lvl>
    <w:lvl w:ilvl="2">
      <w:start w:val="3"/>
      <w:numFmt w:val="decimal"/>
      <w:isLgl/>
      <w:lvlText w:val="%1.%2.%3"/>
      <w:lvlJc w:val="left"/>
      <w:pPr>
        <w:ind w:left="1332" w:hanging="720"/>
      </w:pPr>
      <w:rPr>
        <w:rFonts w:hint="default"/>
      </w:rPr>
    </w:lvl>
    <w:lvl w:ilvl="3">
      <w:start w:val="1"/>
      <w:numFmt w:val="decimal"/>
      <w:isLgl/>
      <w:lvlText w:val="%1.%2.%3.%4"/>
      <w:lvlJc w:val="left"/>
      <w:pPr>
        <w:ind w:left="1692" w:hanging="720"/>
      </w:pPr>
      <w:rPr>
        <w:rFonts w:hint="default"/>
      </w:rPr>
    </w:lvl>
    <w:lvl w:ilvl="4">
      <w:start w:val="1"/>
      <w:numFmt w:val="decimal"/>
      <w:isLgl/>
      <w:lvlText w:val="%1.%2.%3.%4.%5"/>
      <w:lvlJc w:val="left"/>
      <w:pPr>
        <w:ind w:left="2052" w:hanging="720"/>
      </w:pPr>
      <w:rPr>
        <w:rFonts w:hint="default"/>
      </w:rPr>
    </w:lvl>
    <w:lvl w:ilvl="5">
      <w:start w:val="1"/>
      <w:numFmt w:val="decimal"/>
      <w:isLgl/>
      <w:lvlText w:val="%1.%2.%3.%4.%5.%6"/>
      <w:lvlJc w:val="left"/>
      <w:pPr>
        <w:ind w:left="2772" w:hanging="1080"/>
      </w:pPr>
      <w:rPr>
        <w:rFonts w:hint="default"/>
      </w:rPr>
    </w:lvl>
    <w:lvl w:ilvl="6">
      <w:start w:val="1"/>
      <w:numFmt w:val="decimal"/>
      <w:isLgl/>
      <w:lvlText w:val="%1.%2.%3.%4.%5.%6.%7"/>
      <w:lvlJc w:val="left"/>
      <w:pPr>
        <w:ind w:left="3132" w:hanging="1080"/>
      </w:pPr>
      <w:rPr>
        <w:rFonts w:hint="default"/>
      </w:rPr>
    </w:lvl>
    <w:lvl w:ilvl="7">
      <w:start w:val="1"/>
      <w:numFmt w:val="decimal"/>
      <w:isLgl/>
      <w:lvlText w:val="%1.%2.%3.%4.%5.%6.%7.%8"/>
      <w:lvlJc w:val="left"/>
      <w:pPr>
        <w:ind w:left="3852" w:hanging="1440"/>
      </w:pPr>
      <w:rPr>
        <w:rFonts w:hint="default"/>
      </w:rPr>
    </w:lvl>
    <w:lvl w:ilvl="8">
      <w:start w:val="1"/>
      <w:numFmt w:val="decimal"/>
      <w:isLgl/>
      <w:lvlText w:val="%1.%2.%3.%4.%5.%6.%7.%8.%9"/>
      <w:lvlJc w:val="left"/>
      <w:pPr>
        <w:ind w:left="4212" w:hanging="1440"/>
      </w:pPr>
      <w:rPr>
        <w:rFonts w:hint="default"/>
      </w:rPr>
    </w:lvl>
  </w:abstractNum>
  <w:abstractNum w:abstractNumId="11" w15:restartNumberingAfterBreak="0">
    <w:nsid w:val="67520566"/>
    <w:multiLevelType w:val="hybridMultilevel"/>
    <w:tmpl w:val="214A6C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700A786B"/>
    <w:multiLevelType w:val="hybridMultilevel"/>
    <w:tmpl w:val="B45A7A3A"/>
    <w:lvl w:ilvl="0" w:tplc="E79C003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3" w15:restartNumberingAfterBreak="0">
    <w:nsid w:val="74552714"/>
    <w:multiLevelType w:val="hybridMultilevel"/>
    <w:tmpl w:val="5D307AC6"/>
    <w:lvl w:ilvl="0" w:tplc="B6CA1BB6">
      <w:start w:val="2"/>
      <w:numFmt w:val="bullet"/>
      <w:lvlText w:val="-"/>
      <w:lvlJc w:val="left"/>
      <w:pPr>
        <w:ind w:left="927" w:hanging="360"/>
      </w:pPr>
      <w:rPr>
        <w:rFonts w:ascii="Times New Roman" w:eastAsia="MS Mincho" w:hAnsi="Times New Roman" w:cs="Times New Roman" w:hint="default"/>
      </w:rPr>
    </w:lvl>
    <w:lvl w:ilvl="1" w:tplc="04160003" w:tentative="1">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14"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6"/>
  </w:num>
  <w:num w:numId="2">
    <w:abstractNumId w:val="4"/>
  </w:num>
  <w:num w:numId="3">
    <w:abstractNumId w:val="10"/>
  </w:num>
  <w:num w:numId="4">
    <w:abstractNumId w:val="3"/>
  </w:num>
  <w:num w:numId="5">
    <w:abstractNumId w:val="2"/>
  </w:num>
  <w:num w:numId="6">
    <w:abstractNumId w:val="14"/>
  </w:num>
  <w:num w:numId="7">
    <w:abstractNumId w:val="1"/>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11"/>
  </w:num>
  <w:num w:numId="11">
    <w:abstractNumId w:val="7"/>
  </w:num>
  <w:num w:numId="12">
    <w:abstractNumId w:val="9"/>
  </w:num>
  <w:num w:numId="13">
    <w:abstractNumId w:val="0"/>
  </w:num>
  <w:num w:numId="14">
    <w:abstractNumId w:val="12"/>
  </w:num>
  <w:num w:numId="15">
    <w:abstractNumId w:val="13"/>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zpw0zxa050w0rqeap0g5pvddvzr92drvawpt&quot;&gt;Livraria Pré Projeto&lt;record-ids&gt;&lt;item&gt;43&lt;/item&gt;&lt;/record-ids&gt;&lt;/item&gt;&lt;/Libraries&gt;"/>
  </w:docVars>
  <w:rsids>
    <w:rsidRoot w:val="00E06C35"/>
    <w:rsid w:val="0000086E"/>
    <w:rsid w:val="0000419A"/>
    <w:rsid w:val="00007248"/>
    <w:rsid w:val="00015DEA"/>
    <w:rsid w:val="000173B5"/>
    <w:rsid w:val="000245E0"/>
    <w:rsid w:val="00027827"/>
    <w:rsid w:val="00030925"/>
    <w:rsid w:val="0003531D"/>
    <w:rsid w:val="00040D63"/>
    <w:rsid w:val="00040FEE"/>
    <w:rsid w:val="00043F63"/>
    <w:rsid w:val="0004483C"/>
    <w:rsid w:val="00044D7B"/>
    <w:rsid w:val="00045DC9"/>
    <w:rsid w:val="00046178"/>
    <w:rsid w:val="00051C5B"/>
    <w:rsid w:val="0005539D"/>
    <w:rsid w:val="000641D8"/>
    <w:rsid w:val="00066840"/>
    <w:rsid w:val="00073DA7"/>
    <w:rsid w:val="00074709"/>
    <w:rsid w:val="0007627D"/>
    <w:rsid w:val="000803D5"/>
    <w:rsid w:val="00082282"/>
    <w:rsid w:val="000826BF"/>
    <w:rsid w:val="00083F59"/>
    <w:rsid w:val="00085591"/>
    <w:rsid w:val="00087D5D"/>
    <w:rsid w:val="00094020"/>
    <w:rsid w:val="000960BC"/>
    <w:rsid w:val="000A2722"/>
    <w:rsid w:val="000A3099"/>
    <w:rsid w:val="000A3918"/>
    <w:rsid w:val="000A3F94"/>
    <w:rsid w:val="000B119C"/>
    <w:rsid w:val="000B1F0C"/>
    <w:rsid w:val="000B283B"/>
    <w:rsid w:val="000B2C35"/>
    <w:rsid w:val="000B4862"/>
    <w:rsid w:val="000B702F"/>
    <w:rsid w:val="000C12FB"/>
    <w:rsid w:val="000C1A53"/>
    <w:rsid w:val="000C27F7"/>
    <w:rsid w:val="000C35EA"/>
    <w:rsid w:val="000C4AE6"/>
    <w:rsid w:val="000C537A"/>
    <w:rsid w:val="000C54BE"/>
    <w:rsid w:val="000C58D3"/>
    <w:rsid w:val="000C7364"/>
    <w:rsid w:val="000D2F95"/>
    <w:rsid w:val="000D4161"/>
    <w:rsid w:val="000D5A0C"/>
    <w:rsid w:val="000E0947"/>
    <w:rsid w:val="000E2799"/>
    <w:rsid w:val="000E30C2"/>
    <w:rsid w:val="000E356B"/>
    <w:rsid w:val="000E48C0"/>
    <w:rsid w:val="000F06C9"/>
    <w:rsid w:val="000F17EB"/>
    <w:rsid w:val="000F192D"/>
    <w:rsid w:val="000F2688"/>
    <w:rsid w:val="000F287F"/>
    <w:rsid w:val="000F2D86"/>
    <w:rsid w:val="000F7493"/>
    <w:rsid w:val="0010092B"/>
    <w:rsid w:val="00100E8D"/>
    <w:rsid w:val="0010246E"/>
    <w:rsid w:val="00103FC7"/>
    <w:rsid w:val="00104EC4"/>
    <w:rsid w:val="001102D4"/>
    <w:rsid w:val="00122AB9"/>
    <w:rsid w:val="00124672"/>
    <w:rsid w:val="00125C8E"/>
    <w:rsid w:val="00127CF9"/>
    <w:rsid w:val="00131199"/>
    <w:rsid w:val="001315B4"/>
    <w:rsid w:val="001318D6"/>
    <w:rsid w:val="00131BE9"/>
    <w:rsid w:val="001324BF"/>
    <w:rsid w:val="001357E8"/>
    <w:rsid w:val="001405E5"/>
    <w:rsid w:val="00140B48"/>
    <w:rsid w:val="00144309"/>
    <w:rsid w:val="00145111"/>
    <w:rsid w:val="00145DF1"/>
    <w:rsid w:val="00145E07"/>
    <w:rsid w:val="0015065B"/>
    <w:rsid w:val="00150FA3"/>
    <w:rsid w:val="0015507C"/>
    <w:rsid w:val="0015677B"/>
    <w:rsid w:val="00156840"/>
    <w:rsid w:val="00157814"/>
    <w:rsid w:val="00161351"/>
    <w:rsid w:val="0016490E"/>
    <w:rsid w:val="001649D9"/>
    <w:rsid w:val="0016631D"/>
    <w:rsid w:val="00170741"/>
    <w:rsid w:val="00171440"/>
    <w:rsid w:val="00171FE8"/>
    <w:rsid w:val="00173D97"/>
    <w:rsid w:val="00176CCD"/>
    <w:rsid w:val="001814F3"/>
    <w:rsid w:val="00182B23"/>
    <w:rsid w:val="00193818"/>
    <w:rsid w:val="00194534"/>
    <w:rsid w:val="0019651D"/>
    <w:rsid w:val="00196596"/>
    <w:rsid w:val="001A04DB"/>
    <w:rsid w:val="001A0518"/>
    <w:rsid w:val="001A5299"/>
    <w:rsid w:val="001A564D"/>
    <w:rsid w:val="001A611B"/>
    <w:rsid w:val="001B45C9"/>
    <w:rsid w:val="001B5BBA"/>
    <w:rsid w:val="001B7B8E"/>
    <w:rsid w:val="001C12EB"/>
    <w:rsid w:val="001C626E"/>
    <w:rsid w:val="001D0458"/>
    <w:rsid w:val="001D3C6E"/>
    <w:rsid w:val="001D50CA"/>
    <w:rsid w:val="001D7EC7"/>
    <w:rsid w:val="001E0898"/>
    <w:rsid w:val="001E0A98"/>
    <w:rsid w:val="001E287E"/>
    <w:rsid w:val="001E5237"/>
    <w:rsid w:val="001E7C13"/>
    <w:rsid w:val="001F037F"/>
    <w:rsid w:val="001F15D3"/>
    <w:rsid w:val="001F224E"/>
    <w:rsid w:val="001F3899"/>
    <w:rsid w:val="001F4A7A"/>
    <w:rsid w:val="001F5D7D"/>
    <w:rsid w:val="00204CDF"/>
    <w:rsid w:val="0021075C"/>
    <w:rsid w:val="0021116C"/>
    <w:rsid w:val="00216B6D"/>
    <w:rsid w:val="002200C0"/>
    <w:rsid w:val="00221387"/>
    <w:rsid w:val="00222133"/>
    <w:rsid w:val="00223190"/>
    <w:rsid w:val="00223F91"/>
    <w:rsid w:val="002241EA"/>
    <w:rsid w:val="0022621C"/>
    <w:rsid w:val="00226AD0"/>
    <w:rsid w:val="00227658"/>
    <w:rsid w:val="00227CFA"/>
    <w:rsid w:val="00234D73"/>
    <w:rsid w:val="00234D91"/>
    <w:rsid w:val="0023680A"/>
    <w:rsid w:val="00245995"/>
    <w:rsid w:val="002462A8"/>
    <w:rsid w:val="002504E6"/>
    <w:rsid w:val="00251B4F"/>
    <w:rsid w:val="002523CA"/>
    <w:rsid w:val="002539E0"/>
    <w:rsid w:val="0026144C"/>
    <w:rsid w:val="00261556"/>
    <w:rsid w:val="002625DD"/>
    <w:rsid w:val="00264B09"/>
    <w:rsid w:val="00264C5E"/>
    <w:rsid w:val="002670F6"/>
    <w:rsid w:val="00267D92"/>
    <w:rsid w:val="00272D59"/>
    <w:rsid w:val="00273631"/>
    <w:rsid w:val="00275DD6"/>
    <w:rsid w:val="00276349"/>
    <w:rsid w:val="00277BEA"/>
    <w:rsid w:val="00277E97"/>
    <w:rsid w:val="0028471E"/>
    <w:rsid w:val="00284911"/>
    <w:rsid w:val="002853CA"/>
    <w:rsid w:val="00287C75"/>
    <w:rsid w:val="00290E48"/>
    <w:rsid w:val="00291BFA"/>
    <w:rsid w:val="00294C79"/>
    <w:rsid w:val="00294FAD"/>
    <w:rsid w:val="00296F0E"/>
    <w:rsid w:val="002A3B3F"/>
    <w:rsid w:val="002A3DC7"/>
    <w:rsid w:val="002A6FF7"/>
    <w:rsid w:val="002B00E8"/>
    <w:rsid w:val="002B458E"/>
    <w:rsid w:val="002B7397"/>
    <w:rsid w:val="002B7A8D"/>
    <w:rsid w:val="002C03E8"/>
    <w:rsid w:val="002C30E6"/>
    <w:rsid w:val="002C45F6"/>
    <w:rsid w:val="002C7CB3"/>
    <w:rsid w:val="002D15B3"/>
    <w:rsid w:val="002D191D"/>
    <w:rsid w:val="002D3BA4"/>
    <w:rsid w:val="002D4CC2"/>
    <w:rsid w:val="002D594E"/>
    <w:rsid w:val="002D796B"/>
    <w:rsid w:val="002E16A6"/>
    <w:rsid w:val="002E4F7A"/>
    <w:rsid w:val="002F2D69"/>
    <w:rsid w:val="002F3E4C"/>
    <w:rsid w:val="002F44C9"/>
    <w:rsid w:val="002F4EB5"/>
    <w:rsid w:val="00302079"/>
    <w:rsid w:val="00302DAE"/>
    <w:rsid w:val="00302DF4"/>
    <w:rsid w:val="003069A1"/>
    <w:rsid w:val="00307B23"/>
    <w:rsid w:val="00307EF6"/>
    <w:rsid w:val="0031719D"/>
    <w:rsid w:val="003178EF"/>
    <w:rsid w:val="003212BD"/>
    <w:rsid w:val="00322ADF"/>
    <w:rsid w:val="00323191"/>
    <w:rsid w:val="00330089"/>
    <w:rsid w:val="003312C3"/>
    <w:rsid w:val="00331D61"/>
    <w:rsid w:val="00332426"/>
    <w:rsid w:val="00333DCE"/>
    <w:rsid w:val="00333E22"/>
    <w:rsid w:val="0033475F"/>
    <w:rsid w:val="0034336D"/>
    <w:rsid w:val="0034372C"/>
    <w:rsid w:val="00350F76"/>
    <w:rsid w:val="00351A2C"/>
    <w:rsid w:val="00351D1C"/>
    <w:rsid w:val="00351D2D"/>
    <w:rsid w:val="00356D14"/>
    <w:rsid w:val="0036027E"/>
    <w:rsid w:val="00361397"/>
    <w:rsid w:val="00361912"/>
    <w:rsid w:val="003627DA"/>
    <w:rsid w:val="00362A65"/>
    <w:rsid w:val="00362B7C"/>
    <w:rsid w:val="00362CE0"/>
    <w:rsid w:val="00363290"/>
    <w:rsid w:val="003648C0"/>
    <w:rsid w:val="00365634"/>
    <w:rsid w:val="003668AA"/>
    <w:rsid w:val="00367BB1"/>
    <w:rsid w:val="0037395C"/>
    <w:rsid w:val="00376B2D"/>
    <w:rsid w:val="00382651"/>
    <w:rsid w:val="00384859"/>
    <w:rsid w:val="00384F81"/>
    <w:rsid w:val="0038711D"/>
    <w:rsid w:val="003872F8"/>
    <w:rsid w:val="00391D39"/>
    <w:rsid w:val="00397115"/>
    <w:rsid w:val="003A55F0"/>
    <w:rsid w:val="003B5348"/>
    <w:rsid w:val="003B755A"/>
    <w:rsid w:val="003C0490"/>
    <w:rsid w:val="003C0C11"/>
    <w:rsid w:val="003C28AF"/>
    <w:rsid w:val="003C28CF"/>
    <w:rsid w:val="003C5CF1"/>
    <w:rsid w:val="003C6180"/>
    <w:rsid w:val="003C6B73"/>
    <w:rsid w:val="003C72A3"/>
    <w:rsid w:val="003C7700"/>
    <w:rsid w:val="003D2C8E"/>
    <w:rsid w:val="003D2D98"/>
    <w:rsid w:val="003D445F"/>
    <w:rsid w:val="003D5DEF"/>
    <w:rsid w:val="003D5F31"/>
    <w:rsid w:val="003D7642"/>
    <w:rsid w:val="003E1834"/>
    <w:rsid w:val="003E2272"/>
    <w:rsid w:val="003E25FB"/>
    <w:rsid w:val="003E57F2"/>
    <w:rsid w:val="003E704A"/>
    <w:rsid w:val="003E7951"/>
    <w:rsid w:val="003E7D25"/>
    <w:rsid w:val="003F4275"/>
    <w:rsid w:val="00401FD8"/>
    <w:rsid w:val="00403FCD"/>
    <w:rsid w:val="004064BC"/>
    <w:rsid w:val="0041022E"/>
    <w:rsid w:val="00410E83"/>
    <w:rsid w:val="00416970"/>
    <w:rsid w:val="00416CF9"/>
    <w:rsid w:val="00416FEA"/>
    <w:rsid w:val="00417854"/>
    <w:rsid w:val="00417A1C"/>
    <w:rsid w:val="00420A91"/>
    <w:rsid w:val="00421D36"/>
    <w:rsid w:val="00421EB0"/>
    <w:rsid w:val="0042584E"/>
    <w:rsid w:val="00427518"/>
    <w:rsid w:val="00431010"/>
    <w:rsid w:val="00436637"/>
    <w:rsid w:val="00437A5E"/>
    <w:rsid w:val="004419DA"/>
    <w:rsid w:val="00443A5C"/>
    <w:rsid w:val="00450D55"/>
    <w:rsid w:val="0045346C"/>
    <w:rsid w:val="004541F8"/>
    <w:rsid w:val="00455C59"/>
    <w:rsid w:val="0045668D"/>
    <w:rsid w:val="00456C38"/>
    <w:rsid w:val="00456CA2"/>
    <w:rsid w:val="00457868"/>
    <w:rsid w:val="00461A8E"/>
    <w:rsid w:val="0046329C"/>
    <w:rsid w:val="004637CA"/>
    <w:rsid w:val="00465BD9"/>
    <w:rsid w:val="00467DE9"/>
    <w:rsid w:val="00467F61"/>
    <w:rsid w:val="004710AC"/>
    <w:rsid w:val="0047134E"/>
    <w:rsid w:val="00471A2E"/>
    <w:rsid w:val="00472CE7"/>
    <w:rsid w:val="00474C14"/>
    <w:rsid w:val="0047621C"/>
    <w:rsid w:val="00476B77"/>
    <w:rsid w:val="00476FD2"/>
    <w:rsid w:val="00484298"/>
    <w:rsid w:val="00485396"/>
    <w:rsid w:val="00486088"/>
    <w:rsid w:val="004902CA"/>
    <w:rsid w:val="004922BC"/>
    <w:rsid w:val="00496F81"/>
    <w:rsid w:val="0049749E"/>
    <w:rsid w:val="00497540"/>
    <w:rsid w:val="00497F6C"/>
    <w:rsid w:val="004A1B12"/>
    <w:rsid w:val="004A49F6"/>
    <w:rsid w:val="004A4A53"/>
    <w:rsid w:val="004A5E0D"/>
    <w:rsid w:val="004A712C"/>
    <w:rsid w:val="004B3674"/>
    <w:rsid w:val="004B453D"/>
    <w:rsid w:val="004B595F"/>
    <w:rsid w:val="004B5EF0"/>
    <w:rsid w:val="004B6C94"/>
    <w:rsid w:val="004B6DE4"/>
    <w:rsid w:val="004C2BA2"/>
    <w:rsid w:val="004C3548"/>
    <w:rsid w:val="004C36FE"/>
    <w:rsid w:val="004C49FE"/>
    <w:rsid w:val="004C4AE9"/>
    <w:rsid w:val="004C4C92"/>
    <w:rsid w:val="004C54FF"/>
    <w:rsid w:val="004D5105"/>
    <w:rsid w:val="004D726B"/>
    <w:rsid w:val="004D74C6"/>
    <w:rsid w:val="004D7590"/>
    <w:rsid w:val="004E6C7A"/>
    <w:rsid w:val="004F014A"/>
    <w:rsid w:val="004F06F2"/>
    <w:rsid w:val="004F3E5C"/>
    <w:rsid w:val="004F5757"/>
    <w:rsid w:val="004F696E"/>
    <w:rsid w:val="00500C2F"/>
    <w:rsid w:val="00501ADE"/>
    <w:rsid w:val="0050554B"/>
    <w:rsid w:val="00506328"/>
    <w:rsid w:val="00510D9D"/>
    <w:rsid w:val="00510EAD"/>
    <w:rsid w:val="0051194A"/>
    <w:rsid w:val="005149C2"/>
    <w:rsid w:val="00515913"/>
    <w:rsid w:val="00515DA9"/>
    <w:rsid w:val="00517EF4"/>
    <w:rsid w:val="00521B72"/>
    <w:rsid w:val="00521D39"/>
    <w:rsid w:val="00524441"/>
    <w:rsid w:val="00525A1E"/>
    <w:rsid w:val="00531D8D"/>
    <w:rsid w:val="00531E20"/>
    <w:rsid w:val="00534992"/>
    <w:rsid w:val="0053789F"/>
    <w:rsid w:val="005402F6"/>
    <w:rsid w:val="00544DD5"/>
    <w:rsid w:val="0054613F"/>
    <w:rsid w:val="005502E1"/>
    <w:rsid w:val="00554FF8"/>
    <w:rsid w:val="005563E4"/>
    <w:rsid w:val="00564618"/>
    <w:rsid w:val="00564C1E"/>
    <w:rsid w:val="00565208"/>
    <w:rsid w:val="00567452"/>
    <w:rsid w:val="00570513"/>
    <w:rsid w:val="00571339"/>
    <w:rsid w:val="0057341A"/>
    <w:rsid w:val="00573F65"/>
    <w:rsid w:val="00576FB5"/>
    <w:rsid w:val="005803CE"/>
    <w:rsid w:val="005828C3"/>
    <w:rsid w:val="00584E65"/>
    <w:rsid w:val="00586B41"/>
    <w:rsid w:val="0059189F"/>
    <w:rsid w:val="00595AE4"/>
    <w:rsid w:val="005A115E"/>
    <w:rsid w:val="005A3EDB"/>
    <w:rsid w:val="005A5825"/>
    <w:rsid w:val="005B1407"/>
    <w:rsid w:val="005C0453"/>
    <w:rsid w:val="005C32D5"/>
    <w:rsid w:val="005C5899"/>
    <w:rsid w:val="005C6F44"/>
    <w:rsid w:val="005D0803"/>
    <w:rsid w:val="005D2231"/>
    <w:rsid w:val="005D3CCB"/>
    <w:rsid w:val="005D4E8F"/>
    <w:rsid w:val="005D6E45"/>
    <w:rsid w:val="005E06E2"/>
    <w:rsid w:val="005E1505"/>
    <w:rsid w:val="005E4C93"/>
    <w:rsid w:val="005E596F"/>
    <w:rsid w:val="005E59C0"/>
    <w:rsid w:val="005F4CAD"/>
    <w:rsid w:val="005F7A97"/>
    <w:rsid w:val="00601725"/>
    <w:rsid w:val="0060301E"/>
    <w:rsid w:val="00614687"/>
    <w:rsid w:val="00615561"/>
    <w:rsid w:val="006160AA"/>
    <w:rsid w:val="00622973"/>
    <w:rsid w:val="006253DB"/>
    <w:rsid w:val="0063581C"/>
    <w:rsid w:val="00636B58"/>
    <w:rsid w:val="00637EC0"/>
    <w:rsid w:val="00641EBC"/>
    <w:rsid w:val="00642D5E"/>
    <w:rsid w:val="00644326"/>
    <w:rsid w:val="00646D88"/>
    <w:rsid w:val="0065064D"/>
    <w:rsid w:val="0065101B"/>
    <w:rsid w:val="00652034"/>
    <w:rsid w:val="0065389F"/>
    <w:rsid w:val="00655DF8"/>
    <w:rsid w:val="0066147B"/>
    <w:rsid w:val="006636D0"/>
    <w:rsid w:val="0066462E"/>
    <w:rsid w:val="00667588"/>
    <w:rsid w:val="00670C7B"/>
    <w:rsid w:val="00673D81"/>
    <w:rsid w:val="00674788"/>
    <w:rsid w:val="00676117"/>
    <w:rsid w:val="00676E5E"/>
    <w:rsid w:val="006835C0"/>
    <w:rsid w:val="00686BFF"/>
    <w:rsid w:val="0069331B"/>
    <w:rsid w:val="00693E60"/>
    <w:rsid w:val="00696DCF"/>
    <w:rsid w:val="006A1544"/>
    <w:rsid w:val="006A166E"/>
    <w:rsid w:val="006A6FB3"/>
    <w:rsid w:val="006B185C"/>
    <w:rsid w:val="006B6705"/>
    <w:rsid w:val="006B799E"/>
    <w:rsid w:val="006C01B0"/>
    <w:rsid w:val="006C1B02"/>
    <w:rsid w:val="006C35DC"/>
    <w:rsid w:val="006D0C38"/>
    <w:rsid w:val="006D1605"/>
    <w:rsid w:val="006D54D9"/>
    <w:rsid w:val="006E0A00"/>
    <w:rsid w:val="006E54AA"/>
    <w:rsid w:val="006F401D"/>
    <w:rsid w:val="007006AC"/>
    <w:rsid w:val="00701E0E"/>
    <w:rsid w:val="007060BC"/>
    <w:rsid w:val="007103E9"/>
    <w:rsid w:val="00710976"/>
    <w:rsid w:val="00710C03"/>
    <w:rsid w:val="00713B6D"/>
    <w:rsid w:val="00716340"/>
    <w:rsid w:val="0071687D"/>
    <w:rsid w:val="0071748E"/>
    <w:rsid w:val="00717CE1"/>
    <w:rsid w:val="00722E49"/>
    <w:rsid w:val="0072408F"/>
    <w:rsid w:val="00727F2A"/>
    <w:rsid w:val="007330A8"/>
    <w:rsid w:val="007342F5"/>
    <w:rsid w:val="0074123E"/>
    <w:rsid w:val="0074394F"/>
    <w:rsid w:val="00747C6A"/>
    <w:rsid w:val="007503A7"/>
    <w:rsid w:val="0075390B"/>
    <w:rsid w:val="00754AA4"/>
    <w:rsid w:val="00754D25"/>
    <w:rsid w:val="0076134F"/>
    <w:rsid w:val="00763DDD"/>
    <w:rsid w:val="00764B05"/>
    <w:rsid w:val="00767B91"/>
    <w:rsid w:val="007703EA"/>
    <w:rsid w:val="00773C9B"/>
    <w:rsid w:val="007750CA"/>
    <w:rsid w:val="00776E23"/>
    <w:rsid w:val="0078006C"/>
    <w:rsid w:val="007809AA"/>
    <w:rsid w:val="00780F47"/>
    <w:rsid w:val="00781479"/>
    <w:rsid w:val="00784FCA"/>
    <w:rsid w:val="00786103"/>
    <w:rsid w:val="00786BC2"/>
    <w:rsid w:val="00786CFB"/>
    <w:rsid w:val="00786D5C"/>
    <w:rsid w:val="00787255"/>
    <w:rsid w:val="00791CAD"/>
    <w:rsid w:val="00791E6D"/>
    <w:rsid w:val="00792004"/>
    <w:rsid w:val="00797BC0"/>
    <w:rsid w:val="007A00C2"/>
    <w:rsid w:val="007A0350"/>
    <w:rsid w:val="007A5BE2"/>
    <w:rsid w:val="007A70A3"/>
    <w:rsid w:val="007B2B9D"/>
    <w:rsid w:val="007B3E1B"/>
    <w:rsid w:val="007B429B"/>
    <w:rsid w:val="007C299F"/>
    <w:rsid w:val="007C38B3"/>
    <w:rsid w:val="007C7044"/>
    <w:rsid w:val="007D1DBA"/>
    <w:rsid w:val="007E0A97"/>
    <w:rsid w:val="007E66F6"/>
    <w:rsid w:val="007E7430"/>
    <w:rsid w:val="007F2E3D"/>
    <w:rsid w:val="007F4560"/>
    <w:rsid w:val="0080323D"/>
    <w:rsid w:val="00803DB3"/>
    <w:rsid w:val="00804ED8"/>
    <w:rsid w:val="008050D7"/>
    <w:rsid w:val="0080517D"/>
    <w:rsid w:val="008057DC"/>
    <w:rsid w:val="008064D2"/>
    <w:rsid w:val="00810B30"/>
    <w:rsid w:val="00812B37"/>
    <w:rsid w:val="008138CD"/>
    <w:rsid w:val="008145DE"/>
    <w:rsid w:val="008153AA"/>
    <w:rsid w:val="00816D47"/>
    <w:rsid w:val="0081725E"/>
    <w:rsid w:val="008276A1"/>
    <w:rsid w:val="0083078F"/>
    <w:rsid w:val="00836343"/>
    <w:rsid w:val="00836F23"/>
    <w:rsid w:val="008408D8"/>
    <w:rsid w:val="00846F53"/>
    <w:rsid w:val="00852FA0"/>
    <w:rsid w:val="00854190"/>
    <w:rsid w:val="00863560"/>
    <w:rsid w:val="008645A1"/>
    <w:rsid w:val="0086570C"/>
    <w:rsid w:val="00865CC8"/>
    <w:rsid w:val="00870149"/>
    <w:rsid w:val="008725C8"/>
    <w:rsid w:val="00880D58"/>
    <w:rsid w:val="008821EC"/>
    <w:rsid w:val="00883775"/>
    <w:rsid w:val="008842CE"/>
    <w:rsid w:val="008858D9"/>
    <w:rsid w:val="00887346"/>
    <w:rsid w:val="0088738D"/>
    <w:rsid w:val="00891FC3"/>
    <w:rsid w:val="008920CD"/>
    <w:rsid w:val="008929D6"/>
    <w:rsid w:val="00895716"/>
    <w:rsid w:val="00896959"/>
    <w:rsid w:val="008A020A"/>
    <w:rsid w:val="008A2421"/>
    <w:rsid w:val="008A28D1"/>
    <w:rsid w:val="008A6DA0"/>
    <w:rsid w:val="008B2460"/>
    <w:rsid w:val="008B66BC"/>
    <w:rsid w:val="008B7D13"/>
    <w:rsid w:val="008C28A4"/>
    <w:rsid w:val="008C2ACB"/>
    <w:rsid w:val="008C2F39"/>
    <w:rsid w:val="008D19A9"/>
    <w:rsid w:val="008D2DFA"/>
    <w:rsid w:val="008D4556"/>
    <w:rsid w:val="008D729F"/>
    <w:rsid w:val="008D793B"/>
    <w:rsid w:val="008E1A11"/>
    <w:rsid w:val="008E3FE3"/>
    <w:rsid w:val="008E42CA"/>
    <w:rsid w:val="008E52EB"/>
    <w:rsid w:val="008F3C70"/>
    <w:rsid w:val="008F774E"/>
    <w:rsid w:val="00902073"/>
    <w:rsid w:val="009037AB"/>
    <w:rsid w:val="00904B43"/>
    <w:rsid w:val="009069CC"/>
    <w:rsid w:val="00907655"/>
    <w:rsid w:val="009079CD"/>
    <w:rsid w:val="009160FE"/>
    <w:rsid w:val="00920B26"/>
    <w:rsid w:val="00920E30"/>
    <w:rsid w:val="00921F4F"/>
    <w:rsid w:val="00924119"/>
    <w:rsid w:val="00927DB7"/>
    <w:rsid w:val="00933C81"/>
    <w:rsid w:val="00933DF6"/>
    <w:rsid w:val="00934DE9"/>
    <w:rsid w:val="00935857"/>
    <w:rsid w:val="0093601C"/>
    <w:rsid w:val="009370E1"/>
    <w:rsid w:val="0094360B"/>
    <w:rsid w:val="00944A52"/>
    <w:rsid w:val="009473E3"/>
    <w:rsid w:val="00952702"/>
    <w:rsid w:val="00953D67"/>
    <w:rsid w:val="00953FC1"/>
    <w:rsid w:val="00957A91"/>
    <w:rsid w:val="00957B1A"/>
    <w:rsid w:val="00960B0F"/>
    <w:rsid w:val="009616BC"/>
    <w:rsid w:val="009654C3"/>
    <w:rsid w:val="00965FE7"/>
    <w:rsid w:val="0097033C"/>
    <w:rsid w:val="009715F8"/>
    <w:rsid w:val="009819C3"/>
    <w:rsid w:val="00983A07"/>
    <w:rsid w:val="00983B17"/>
    <w:rsid w:val="00985716"/>
    <w:rsid w:val="00985928"/>
    <w:rsid w:val="00986FD4"/>
    <w:rsid w:val="00990CE7"/>
    <w:rsid w:val="00991E65"/>
    <w:rsid w:val="009921CC"/>
    <w:rsid w:val="009A0A80"/>
    <w:rsid w:val="009A1575"/>
    <w:rsid w:val="009A19CA"/>
    <w:rsid w:val="009A537B"/>
    <w:rsid w:val="009A5E6C"/>
    <w:rsid w:val="009A62B1"/>
    <w:rsid w:val="009A6D40"/>
    <w:rsid w:val="009A7BE0"/>
    <w:rsid w:val="009B0CB6"/>
    <w:rsid w:val="009B18D0"/>
    <w:rsid w:val="009B4539"/>
    <w:rsid w:val="009B4995"/>
    <w:rsid w:val="009B62F3"/>
    <w:rsid w:val="009B76E9"/>
    <w:rsid w:val="009B7C4C"/>
    <w:rsid w:val="009C156F"/>
    <w:rsid w:val="009C1A1E"/>
    <w:rsid w:val="009C2E94"/>
    <w:rsid w:val="009C2FF3"/>
    <w:rsid w:val="009C323C"/>
    <w:rsid w:val="009C4799"/>
    <w:rsid w:val="009C5AE7"/>
    <w:rsid w:val="009D0473"/>
    <w:rsid w:val="009D3EF0"/>
    <w:rsid w:val="009E015C"/>
    <w:rsid w:val="009E0EE6"/>
    <w:rsid w:val="009E1E86"/>
    <w:rsid w:val="009E2294"/>
    <w:rsid w:val="009E44EF"/>
    <w:rsid w:val="009F3DA4"/>
    <w:rsid w:val="009F4611"/>
    <w:rsid w:val="009F4BE3"/>
    <w:rsid w:val="009F636A"/>
    <w:rsid w:val="009F7325"/>
    <w:rsid w:val="009F7410"/>
    <w:rsid w:val="009F75A3"/>
    <w:rsid w:val="00A01AE2"/>
    <w:rsid w:val="00A16782"/>
    <w:rsid w:val="00A16CF2"/>
    <w:rsid w:val="00A2089C"/>
    <w:rsid w:val="00A22FCC"/>
    <w:rsid w:val="00A24B78"/>
    <w:rsid w:val="00A274DE"/>
    <w:rsid w:val="00A30C8E"/>
    <w:rsid w:val="00A3682D"/>
    <w:rsid w:val="00A40896"/>
    <w:rsid w:val="00A45BD0"/>
    <w:rsid w:val="00A4762E"/>
    <w:rsid w:val="00A47EDF"/>
    <w:rsid w:val="00A55198"/>
    <w:rsid w:val="00A55ABB"/>
    <w:rsid w:val="00A56536"/>
    <w:rsid w:val="00A65670"/>
    <w:rsid w:val="00A7239E"/>
    <w:rsid w:val="00A743B1"/>
    <w:rsid w:val="00A814AC"/>
    <w:rsid w:val="00A908ED"/>
    <w:rsid w:val="00A90C79"/>
    <w:rsid w:val="00A9149D"/>
    <w:rsid w:val="00A9172D"/>
    <w:rsid w:val="00A975A1"/>
    <w:rsid w:val="00AA1E5F"/>
    <w:rsid w:val="00AA3FFA"/>
    <w:rsid w:val="00AA47A2"/>
    <w:rsid w:val="00AA4E8C"/>
    <w:rsid w:val="00AA5190"/>
    <w:rsid w:val="00AA6787"/>
    <w:rsid w:val="00AA7CB3"/>
    <w:rsid w:val="00AA7E09"/>
    <w:rsid w:val="00AB3AD9"/>
    <w:rsid w:val="00AB3E0D"/>
    <w:rsid w:val="00AB563E"/>
    <w:rsid w:val="00AB567F"/>
    <w:rsid w:val="00AB771B"/>
    <w:rsid w:val="00AC1765"/>
    <w:rsid w:val="00AC32E1"/>
    <w:rsid w:val="00AC4727"/>
    <w:rsid w:val="00AC48E6"/>
    <w:rsid w:val="00AC5A0E"/>
    <w:rsid w:val="00AC5C0C"/>
    <w:rsid w:val="00AD184E"/>
    <w:rsid w:val="00AD2C32"/>
    <w:rsid w:val="00AD5DCA"/>
    <w:rsid w:val="00AD7276"/>
    <w:rsid w:val="00AE0BCA"/>
    <w:rsid w:val="00AE334B"/>
    <w:rsid w:val="00AE505C"/>
    <w:rsid w:val="00AE53A5"/>
    <w:rsid w:val="00AE54ED"/>
    <w:rsid w:val="00AE662C"/>
    <w:rsid w:val="00AF2466"/>
    <w:rsid w:val="00AF4226"/>
    <w:rsid w:val="00B012E3"/>
    <w:rsid w:val="00B01BB2"/>
    <w:rsid w:val="00B045E4"/>
    <w:rsid w:val="00B07A78"/>
    <w:rsid w:val="00B12EBD"/>
    <w:rsid w:val="00B13192"/>
    <w:rsid w:val="00B14949"/>
    <w:rsid w:val="00B15485"/>
    <w:rsid w:val="00B15C25"/>
    <w:rsid w:val="00B1786C"/>
    <w:rsid w:val="00B2135D"/>
    <w:rsid w:val="00B2192A"/>
    <w:rsid w:val="00B32A5C"/>
    <w:rsid w:val="00B32F3F"/>
    <w:rsid w:val="00B3366E"/>
    <w:rsid w:val="00B34974"/>
    <w:rsid w:val="00B34D21"/>
    <w:rsid w:val="00B45104"/>
    <w:rsid w:val="00B4585B"/>
    <w:rsid w:val="00B50856"/>
    <w:rsid w:val="00B5527E"/>
    <w:rsid w:val="00B55A59"/>
    <w:rsid w:val="00B578EC"/>
    <w:rsid w:val="00B602B8"/>
    <w:rsid w:val="00B610AE"/>
    <w:rsid w:val="00B6285A"/>
    <w:rsid w:val="00B62B73"/>
    <w:rsid w:val="00B6649B"/>
    <w:rsid w:val="00B67733"/>
    <w:rsid w:val="00B71097"/>
    <w:rsid w:val="00B73B00"/>
    <w:rsid w:val="00B73E41"/>
    <w:rsid w:val="00B75429"/>
    <w:rsid w:val="00B76F5F"/>
    <w:rsid w:val="00B771D1"/>
    <w:rsid w:val="00B80AC2"/>
    <w:rsid w:val="00B82505"/>
    <w:rsid w:val="00B83756"/>
    <w:rsid w:val="00B84081"/>
    <w:rsid w:val="00B854B5"/>
    <w:rsid w:val="00B90E6B"/>
    <w:rsid w:val="00B910DB"/>
    <w:rsid w:val="00B91493"/>
    <w:rsid w:val="00B92545"/>
    <w:rsid w:val="00B93D76"/>
    <w:rsid w:val="00B95C54"/>
    <w:rsid w:val="00B95D17"/>
    <w:rsid w:val="00BA1EAA"/>
    <w:rsid w:val="00BA61DA"/>
    <w:rsid w:val="00BA6731"/>
    <w:rsid w:val="00BA766F"/>
    <w:rsid w:val="00BB144C"/>
    <w:rsid w:val="00BB1DD2"/>
    <w:rsid w:val="00BB5CC5"/>
    <w:rsid w:val="00BB6A48"/>
    <w:rsid w:val="00BC072C"/>
    <w:rsid w:val="00BC1541"/>
    <w:rsid w:val="00BC1BB2"/>
    <w:rsid w:val="00BC45C7"/>
    <w:rsid w:val="00BC5297"/>
    <w:rsid w:val="00BD2478"/>
    <w:rsid w:val="00BD279E"/>
    <w:rsid w:val="00BD3146"/>
    <w:rsid w:val="00BD434E"/>
    <w:rsid w:val="00BD48BB"/>
    <w:rsid w:val="00BD5269"/>
    <w:rsid w:val="00BD526A"/>
    <w:rsid w:val="00BE19D3"/>
    <w:rsid w:val="00BE28A9"/>
    <w:rsid w:val="00BE72C2"/>
    <w:rsid w:val="00BE7AEE"/>
    <w:rsid w:val="00BF0FF1"/>
    <w:rsid w:val="00BF2EA4"/>
    <w:rsid w:val="00BF3CF3"/>
    <w:rsid w:val="00BF7432"/>
    <w:rsid w:val="00C04A2E"/>
    <w:rsid w:val="00C07A08"/>
    <w:rsid w:val="00C124C0"/>
    <w:rsid w:val="00C12C01"/>
    <w:rsid w:val="00C13923"/>
    <w:rsid w:val="00C15461"/>
    <w:rsid w:val="00C16C34"/>
    <w:rsid w:val="00C17788"/>
    <w:rsid w:val="00C17925"/>
    <w:rsid w:val="00C209F0"/>
    <w:rsid w:val="00C21160"/>
    <w:rsid w:val="00C27345"/>
    <w:rsid w:val="00C27592"/>
    <w:rsid w:val="00C3075B"/>
    <w:rsid w:val="00C30CE6"/>
    <w:rsid w:val="00C3106E"/>
    <w:rsid w:val="00C34768"/>
    <w:rsid w:val="00C417AE"/>
    <w:rsid w:val="00C43ABF"/>
    <w:rsid w:val="00C44DEA"/>
    <w:rsid w:val="00C5146F"/>
    <w:rsid w:val="00C54794"/>
    <w:rsid w:val="00C564F2"/>
    <w:rsid w:val="00C60735"/>
    <w:rsid w:val="00C62F79"/>
    <w:rsid w:val="00C6451D"/>
    <w:rsid w:val="00C65300"/>
    <w:rsid w:val="00C707FE"/>
    <w:rsid w:val="00C75824"/>
    <w:rsid w:val="00C77477"/>
    <w:rsid w:val="00C7763F"/>
    <w:rsid w:val="00C831F9"/>
    <w:rsid w:val="00C8438C"/>
    <w:rsid w:val="00C8522E"/>
    <w:rsid w:val="00C919DA"/>
    <w:rsid w:val="00C9780C"/>
    <w:rsid w:val="00C97873"/>
    <w:rsid w:val="00C979FF"/>
    <w:rsid w:val="00CB02DF"/>
    <w:rsid w:val="00CB0B59"/>
    <w:rsid w:val="00CB0F32"/>
    <w:rsid w:val="00CB11B0"/>
    <w:rsid w:val="00CB1459"/>
    <w:rsid w:val="00CB684D"/>
    <w:rsid w:val="00CB7C4F"/>
    <w:rsid w:val="00CC41D7"/>
    <w:rsid w:val="00CC6653"/>
    <w:rsid w:val="00CC68F7"/>
    <w:rsid w:val="00CC7CB8"/>
    <w:rsid w:val="00CD1918"/>
    <w:rsid w:val="00CD71BE"/>
    <w:rsid w:val="00CE0C6E"/>
    <w:rsid w:val="00CE291E"/>
    <w:rsid w:val="00CF2A8A"/>
    <w:rsid w:val="00CF4C09"/>
    <w:rsid w:val="00CF74D3"/>
    <w:rsid w:val="00D043EB"/>
    <w:rsid w:val="00D1037B"/>
    <w:rsid w:val="00D10C26"/>
    <w:rsid w:val="00D1201C"/>
    <w:rsid w:val="00D143CD"/>
    <w:rsid w:val="00D149FD"/>
    <w:rsid w:val="00D16304"/>
    <w:rsid w:val="00D209C1"/>
    <w:rsid w:val="00D246A4"/>
    <w:rsid w:val="00D253E5"/>
    <w:rsid w:val="00D31E8E"/>
    <w:rsid w:val="00D339EE"/>
    <w:rsid w:val="00D36610"/>
    <w:rsid w:val="00D451D1"/>
    <w:rsid w:val="00D479D5"/>
    <w:rsid w:val="00D50258"/>
    <w:rsid w:val="00D50796"/>
    <w:rsid w:val="00D57171"/>
    <w:rsid w:val="00D605F3"/>
    <w:rsid w:val="00D60E8B"/>
    <w:rsid w:val="00D62F26"/>
    <w:rsid w:val="00D6799B"/>
    <w:rsid w:val="00D73F54"/>
    <w:rsid w:val="00D747EA"/>
    <w:rsid w:val="00D74C6C"/>
    <w:rsid w:val="00D772DC"/>
    <w:rsid w:val="00D863F2"/>
    <w:rsid w:val="00D87AC0"/>
    <w:rsid w:val="00D9058E"/>
    <w:rsid w:val="00D945CB"/>
    <w:rsid w:val="00D947FA"/>
    <w:rsid w:val="00D96B31"/>
    <w:rsid w:val="00D96BBE"/>
    <w:rsid w:val="00D97D0E"/>
    <w:rsid w:val="00D97F56"/>
    <w:rsid w:val="00DA0046"/>
    <w:rsid w:val="00DA021A"/>
    <w:rsid w:val="00DA0DB1"/>
    <w:rsid w:val="00DA1747"/>
    <w:rsid w:val="00DA206B"/>
    <w:rsid w:val="00DA2F92"/>
    <w:rsid w:val="00DB00CF"/>
    <w:rsid w:val="00DB02BA"/>
    <w:rsid w:val="00DB1821"/>
    <w:rsid w:val="00DB1D4A"/>
    <w:rsid w:val="00DB2182"/>
    <w:rsid w:val="00DB293F"/>
    <w:rsid w:val="00DC0FBC"/>
    <w:rsid w:val="00DC3F5B"/>
    <w:rsid w:val="00DC728F"/>
    <w:rsid w:val="00DC742B"/>
    <w:rsid w:val="00DD6005"/>
    <w:rsid w:val="00DE0138"/>
    <w:rsid w:val="00DE1C26"/>
    <w:rsid w:val="00DE6A79"/>
    <w:rsid w:val="00DE7A8A"/>
    <w:rsid w:val="00DF5DB1"/>
    <w:rsid w:val="00DF62E7"/>
    <w:rsid w:val="00DF7CD5"/>
    <w:rsid w:val="00E01184"/>
    <w:rsid w:val="00E02D32"/>
    <w:rsid w:val="00E04B9C"/>
    <w:rsid w:val="00E05376"/>
    <w:rsid w:val="00E065F7"/>
    <w:rsid w:val="00E06C35"/>
    <w:rsid w:val="00E07FB0"/>
    <w:rsid w:val="00E10715"/>
    <w:rsid w:val="00E12581"/>
    <w:rsid w:val="00E14F2A"/>
    <w:rsid w:val="00E1581D"/>
    <w:rsid w:val="00E164E4"/>
    <w:rsid w:val="00E16CE9"/>
    <w:rsid w:val="00E16D2E"/>
    <w:rsid w:val="00E20344"/>
    <w:rsid w:val="00E26FB4"/>
    <w:rsid w:val="00E26FCD"/>
    <w:rsid w:val="00E2712C"/>
    <w:rsid w:val="00E275D4"/>
    <w:rsid w:val="00E2770B"/>
    <w:rsid w:val="00E3161E"/>
    <w:rsid w:val="00E31CDC"/>
    <w:rsid w:val="00E36859"/>
    <w:rsid w:val="00E45168"/>
    <w:rsid w:val="00E4516D"/>
    <w:rsid w:val="00E46CA9"/>
    <w:rsid w:val="00E47B13"/>
    <w:rsid w:val="00E53761"/>
    <w:rsid w:val="00E54F4F"/>
    <w:rsid w:val="00E60195"/>
    <w:rsid w:val="00E60BB1"/>
    <w:rsid w:val="00E70321"/>
    <w:rsid w:val="00E72E30"/>
    <w:rsid w:val="00E739A5"/>
    <w:rsid w:val="00E74E1D"/>
    <w:rsid w:val="00E76190"/>
    <w:rsid w:val="00E7657E"/>
    <w:rsid w:val="00E76B50"/>
    <w:rsid w:val="00E82662"/>
    <w:rsid w:val="00E92846"/>
    <w:rsid w:val="00EA00B9"/>
    <w:rsid w:val="00EA1E8A"/>
    <w:rsid w:val="00EA230B"/>
    <w:rsid w:val="00EA4417"/>
    <w:rsid w:val="00EB1CE5"/>
    <w:rsid w:val="00EB24F0"/>
    <w:rsid w:val="00EB5EC9"/>
    <w:rsid w:val="00EB634E"/>
    <w:rsid w:val="00EC03E3"/>
    <w:rsid w:val="00EC3C20"/>
    <w:rsid w:val="00EC750F"/>
    <w:rsid w:val="00ED54AA"/>
    <w:rsid w:val="00ED5E27"/>
    <w:rsid w:val="00EE320D"/>
    <w:rsid w:val="00EE6677"/>
    <w:rsid w:val="00EE6F4D"/>
    <w:rsid w:val="00EF1537"/>
    <w:rsid w:val="00EF52CE"/>
    <w:rsid w:val="00EF5822"/>
    <w:rsid w:val="00EF5E70"/>
    <w:rsid w:val="00EF6548"/>
    <w:rsid w:val="00F00003"/>
    <w:rsid w:val="00F04A5A"/>
    <w:rsid w:val="00F055CA"/>
    <w:rsid w:val="00F100CC"/>
    <w:rsid w:val="00F10DF2"/>
    <w:rsid w:val="00F2486D"/>
    <w:rsid w:val="00F24B40"/>
    <w:rsid w:val="00F2520A"/>
    <w:rsid w:val="00F27A63"/>
    <w:rsid w:val="00F31CB1"/>
    <w:rsid w:val="00F32B54"/>
    <w:rsid w:val="00F33846"/>
    <w:rsid w:val="00F5027D"/>
    <w:rsid w:val="00F50877"/>
    <w:rsid w:val="00F55F94"/>
    <w:rsid w:val="00F56507"/>
    <w:rsid w:val="00F566F7"/>
    <w:rsid w:val="00F637C8"/>
    <w:rsid w:val="00F64D57"/>
    <w:rsid w:val="00F66476"/>
    <w:rsid w:val="00F71F29"/>
    <w:rsid w:val="00F72D1B"/>
    <w:rsid w:val="00F80664"/>
    <w:rsid w:val="00F843A4"/>
    <w:rsid w:val="00F84708"/>
    <w:rsid w:val="00F84FA3"/>
    <w:rsid w:val="00F865C3"/>
    <w:rsid w:val="00F87518"/>
    <w:rsid w:val="00F91E96"/>
    <w:rsid w:val="00F91FC4"/>
    <w:rsid w:val="00F92360"/>
    <w:rsid w:val="00F92CB9"/>
    <w:rsid w:val="00F95874"/>
    <w:rsid w:val="00FA0388"/>
    <w:rsid w:val="00FA3C93"/>
    <w:rsid w:val="00FB0004"/>
    <w:rsid w:val="00FB589C"/>
    <w:rsid w:val="00FB7F45"/>
    <w:rsid w:val="00FC1CD7"/>
    <w:rsid w:val="00FC3520"/>
    <w:rsid w:val="00FC7055"/>
    <w:rsid w:val="00FD0584"/>
    <w:rsid w:val="00FD11FA"/>
    <w:rsid w:val="00FD1B07"/>
    <w:rsid w:val="00FD46C0"/>
    <w:rsid w:val="00FE05FB"/>
    <w:rsid w:val="00FE105D"/>
    <w:rsid w:val="00FE2B32"/>
    <w:rsid w:val="00FE4FA7"/>
    <w:rsid w:val="00FE50B1"/>
    <w:rsid w:val="00FF3A42"/>
    <w:rsid w:val="00FF3AB7"/>
    <w:rsid w:val="00FF4E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9F87C2"/>
  <w15:chartTrackingRefBased/>
  <w15:docId w15:val="{A1040C72-DAB5-4C45-A910-F47E047C5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4708"/>
  </w:style>
  <w:style w:type="paragraph" w:styleId="Ttulo1">
    <w:name w:val="heading 1"/>
    <w:basedOn w:val="Normal"/>
    <w:next w:val="Normal"/>
    <w:link w:val="Ttulo1Char"/>
    <w:uiPriority w:val="9"/>
    <w:qFormat/>
    <w:rsid w:val="003C0C11"/>
    <w:pPr>
      <w:keepNext/>
      <w:keepLines/>
      <w:spacing w:before="240" w:after="0"/>
      <w:outlineLvl w:val="0"/>
    </w:pPr>
    <w:rPr>
      <w:rFonts w:ascii="Calibri Light" w:eastAsia="Times New Roman" w:hAnsi="Calibri Light" w:cs="Times New Roman"/>
      <w:color w:val="2E74B5"/>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E06C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E06C3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06C35"/>
  </w:style>
  <w:style w:type="paragraph" w:styleId="Rodap">
    <w:name w:val="footer"/>
    <w:basedOn w:val="Normal"/>
    <w:link w:val="RodapChar"/>
    <w:uiPriority w:val="99"/>
    <w:unhideWhenUsed/>
    <w:rsid w:val="00E06C35"/>
    <w:pPr>
      <w:tabs>
        <w:tab w:val="center" w:pos="4252"/>
        <w:tab w:val="right" w:pos="8504"/>
      </w:tabs>
      <w:spacing w:after="0" w:line="240" w:lineRule="auto"/>
    </w:pPr>
  </w:style>
  <w:style w:type="character" w:customStyle="1" w:styleId="RodapChar">
    <w:name w:val="Rodapé Char"/>
    <w:basedOn w:val="Fontepargpadro"/>
    <w:link w:val="Rodap"/>
    <w:uiPriority w:val="99"/>
    <w:rsid w:val="00E06C35"/>
  </w:style>
  <w:style w:type="character" w:styleId="Hyperlink">
    <w:name w:val="Hyperlink"/>
    <w:uiPriority w:val="99"/>
    <w:unhideWhenUsed/>
    <w:rsid w:val="00E06C35"/>
    <w:rPr>
      <w:color w:val="0563C1"/>
      <w:u w:val="single"/>
    </w:rPr>
  </w:style>
  <w:style w:type="paragraph" w:customStyle="1" w:styleId="Artigo-Titulo01">
    <w:name w:val="Artigo - Titulo 01"/>
    <w:basedOn w:val="Normal"/>
    <w:link w:val="Artigo-Titulo01Char"/>
    <w:qFormat/>
    <w:rsid w:val="00E06C35"/>
    <w:pPr>
      <w:autoSpaceDE w:val="0"/>
      <w:autoSpaceDN w:val="0"/>
      <w:adjustRightInd w:val="0"/>
      <w:spacing w:after="200" w:line="240" w:lineRule="auto"/>
    </w:pPr>
    <w:rPr>
      <w:rFonts w:ascii="Times New Roman" w:eastAsia="Calibri" w:hAnsi="Times New Roman" w:cs="Times New Roman"/>
      <w:b/>
      <w:caps/>
      <w:sz w:val="30"/>
      <w:szCs w:val="20"/>
      <w:lang w:val="en-US"/>
    </w:rPr>
  </w:style>
  <w:style w:type="character" w:customStyle="1" w:styleId="Artigo-Titulo01Char">
    <w:name w:val="Artigo - Titulo 01 Char"/>
    <w:link w:val="Artigo-Titulo01"/>
    <w:rsid w:val="00E06C35"/>
    <w:rPr>
      <w:rFonts w:ascii="Times New Roman" w:eastAsia="Calibri" w:hAnsi="Times New Roman" w:cs="Times New Roman"/>
      <w:b/>
      <w:caps/>
      <w:sz w:val="30"/>
      <w:szCs w:val="20"/>
      <w:lang w:val="en-US"/>
    </w:rPr>
  </w:style>
  <w:style w:type="character" w:styleId="Refdecomentrio">
    <w:name w:val="annotation reference"/>
    <w:uiPriority w:val="99"/>
    <w:semiHidden/>
    <w:unhideWhenUsed/>
    <w:rsid w:val="009C4799"/>
    <w:rPr>
      <w:sz w:val="16"/>
      <w:szCs w:val="16"/>
    </w:rPr>
  </w:style>
  <w:style w:type="paragraph" w:styleId="Textodecomentrio">
    <w:name w:val="annotation text"/>
    <w:basedOn w:val="Normal"/>
    <w:link w:val="TextodecomentrioChar"/>
    <w:uiPriority w:val="99"/>
    <w:semiHidden/>
    <w:unhideWhenUsed/>
    <w:rsid w:val="009C4799"/>
    <w:rPr>
      <w:rFonts w:ascii="Calibri" w:eastAsia="Calibri" w:hAnsi="Calibri" w:cs="Times New Roman"/>
      <w:sz w:val="20"/>
      <w:szCs w:val="20"/>
    </w:rPr>
  </w:style>
  <w:style w:type="character" w:customStyle="1" w:styleId="TextodecomentrioChar">
    <w:name w:val="Texto de comentário Char"/>
    <w:basedOn w:val="Fontepargpadro"/>
    <w:link w:val="Textodecomentrio"/>
    <w:uiPriority w:val="99"/>
    <w:semiHidden/>
    <w:rsid w:val="009C4799"/>
    <w:rPr>
      <w:rFonts w:ascii="Calibri" w:eastAsia="Calibri" w:hAnsi="Calibri" w:cs="Times New Roman"/>
      <w:sz w:val="20"/>
      <w:szCs w:val="20"/>
    </w:rPr>
  </w:style>
  <w:style w:type="paragraph" w:styleId="Textodebalo">
    <w:name w:val="Balloon Text"/>
    <w:basedOn w:val="Normal"/>
    <w:link w:val="TextodebaloChar"/>
    <w:uiPriority w:val="99"/>
    <w:semiHidden/>
    <w:unhideWhenUsed/>
    <w:rsid w:val="009C4799"/>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C4799"/>
    <w:rPr>
      <w:rFonts w:ascii="Segoe UI" w:hAnsi="Segoe UI" w:cs="Segoe UI"/>
      <w:sz w:val="18"/>
      <w:szCs w:val="18"/>
    </w:rPr>
  </w:style>
  <w:style w:type="paragraph" w:styleId="Assuntodocomentrio">
    <w:name w:val="annotation subject"/>
    <w:basedOn w:val="Textodecomentrio"/>
    <w:next w:val="Textodecomentrio"/>
    <w:link w:val="AssuntodocomentrioChar"/>
    <w:uiPriority w:val="99"/>
    <w:semiHidden/>
    <w:unhideWhenUsed/>
    <w:rsid w:val="009C4799"/>
    <w:pPr>
      <w:spacing w:line="240" w:lineRule="auto"/>
    </w:pPr>
    <w:rPr>
      <w:rFonts w:asciiTheme="minorHAnsi" w:eastAsiaTheme="minorHAnsi" w:hAnsiTheme="minorHAnsi" w:cstheme="minorBidi"/>
      <w:b/>
      <w:bCs/>
    </w:rPr>
  </w:style>
  <w:style w:type="character" w:customStyle="1" w:styleId="AssuntodocomentrioChar">
    <w:name w:val="Assunto do comentário Char"/>
    <w:basedOn w:val="TextodecomentrioChar"/>
    <w:link w:val="Assuntodocomentrio"/>
    <w:uiPriority w:val="99"/>
    <w:semiHidden/>
    <w:rsid w:val="009C4799"/>
    <w:rPr>
      <w:rFonts w:ascii="Calibri" w:eastAsia="Calibri" w:hAnsi="Calibri" w:cs="Times New Roman"/>
      <w:b/>
      <w:bCs/>
      <w:sz w:val="20"/>
      <w:szCs w:val="20"/>
    </w:rPr>
  </w:style>
  <w:style w:type="paragraph" w:styleId="Pr-formataoHTML">
    <w:name w:val="HTML Preformatted"/>
    <w:basedOn w:val="Normal"/>
    <w:link w:val="Pr-formataoHTMLChar"/>
    <w:uiPriority w:val="99"/>
    <w:unhideWhenUsed/>
    <w:rsid w:val="009C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rsid w:val="009C4799"/>
    <w:rPr>
      <w:rFonts w:ascii="Courier New" w:eastAsia="Times New Roman" w:hAnsi="Courier New" w:cs="Courier New"/>
      <w:sz w:val="20"/>
      <w:szCs w:val="20"/>
      <w:lang w:eastAsia="pt-BR"/>
    </w:rPr>
  </w:style>
  <w:style w:type="character" w:customStyle="1" w:styleId="Ttulo1Char">
    <w:name w:val="Título 1 Char"/>
    <w:basedOn w:val="Fontepargpadro"/>
    <w:link w:val="Ttulo1"/>
    <w:uiPriority w:val="9"/>
    <w:rsid w:val="003C0C11"/>
    <w:rPr>
      <w:rFonts w:ascii="Calibri Light" w:eastAsia="Times New Roman" w:hAnsi="Calibri Light" w:cs="Times New Roman"/>
      <w:color w:val="2E74B5"/>
      <w:sz w:val="32"/>
      <w:szCs w:val="32"/>
    </w:rPr>
  </w:style>
  <w:style w:type="paragraph" w:styleId="PargrafodaLista">
    <w:name w:val="List Paragraph"/>
    <w:aliases w:val="Level 1"/>
    <w:basedOn w:val="Normal"/>
    <w:uiPriority w:val="34"/>
    <w:qFormat/>
    <w:rsid w:val="003C0C11"/>
    <w:pPr>
      <w:ind w:left="720"/>
      <w:contextualSpacing/>
    </w:pPr>
    <w:rPr>
      <w:rFonts w:ascii="Calibri" w:eastAsia="Calibri" w:hAnsi="Calibri" w:cs="Times New Roman"/>
    </w:rPr>
  </w:style>
  <w:style w:type="character" w:styleId="Forte">
    <w:name w:val="Strong"/>
    <w:uiPriority w:val="22"/>
    <w:qFormat/>
    <w:rsid w:val="00BB6A48"/>
    <w:rPr>
      <w:b/>
      <w:bCs/>
    </w:rPr>
  </w:style>
  <w:style w:type="character" w:customStyle="1" w:styleId="tlid-translation">
    <w:name w:val="tlid-translation"/>
    <w:rsid w:val="00BB6A48"/>
  </w:style>
  <w:style w:type="paragraph" w:customStyle="1" w:styleId="Default">
    <w:name w:val="Default"/>
    <w:rsid w:val="00BB6A48"/>
    <w:pPr>
      <w:autoSpaceDE w:val="0"/>
      <w:autoSpaceDN w:val="0"/>
      <w:adjustRightInd w:val="0"/>
      <w:spacing w:after="0" w:line="240" w:lineRule="auto"/>
    </w:pPr>
    <w:rPr>
      <w:rFonts w:ascii="Arial" w:eastAsia="Calibri" w:hAnsi="Arial" w:cs="Arial"/>
      <w:color w:val="000000"/>
      <w:sz w:val="24"/>
      <w:szCs w:val="24"/>
    </w:rPr>
  </w:style>
  <w:style w:type="paragraph" w:customStyle="1" w:styleId="Estilopadro">
    <w:name w:val="Estilo padrão"/>
    <w:rsid w:val="00BB6A48"/>
    <w:pPr>
      <w:suppressAutoHyphens/>
      <w:spacing w:after="0" w:line="276" w:lineRule="auto"/>
    </w:pPr>
    <w:rPr>
      <w:rFonts w:ascii="Calibri" w:eastAsia="Arial Unicode MS" w:hAnsi="Calibri" w:cs="Calibri"/>
      <w:color w:val="000000"/>
      <w:sz w:val="24"/>
      <w:szCs w:val="24"/>
    </w:rPr>
  </w:style>
  <w:style w:type="paragraph" w:styleId="Parteinferiordoformulrio">
    <w:name w:val="HTML Bottom of Form"/>
    <w:basedOn w:val="Normal"/>
    <w:next w:val="Normal"/>
    <w:link w:val="ParteinferiordoformulrioChar"/>
    <w:hidden/>
    <w:uiPriority w:val="99"/>
    <w:unhideWhenUsed/>
    <w:rsid w:val="00BB6A48"/>
    <w:pPr>
      <w:pBdr>
        <w:top w:val="single" w:sz="6" w:space="1" w:color="auto"/>
      </w:pBdr>
      <w:spacing w:after="0" w:line="240" w:lineRule="auto"/>
      <w:jc w:val="center"/>
    </w:pPr>
    <w:rPr>
      <w:rFonts w:ascii="Arial" w:eastAsia="Times New Roman" w:hAnsi="Arial" w:cs="Times New Roman"/>
      <w:vanish/>
      <w:sz w:val="16"/>
      <w:szCs w:val="16"/>
      <w:lang w:val="x-none" w:eastAsia="x-none"/>
    </w:rPr>
  </w:style>
  <w:style w:type="character" w:customStyle="1" w:styleId="ParteinferiordoformulrioChar">
    <w:name w:val="Parte inferior do formulário Char"/>
    <w:basedOn w:val="Fontepargpadro"/>
    <w:link w:val="Parteinferiordoformulrio"/>
    <w:uiPriority w:val="99"/>
    <w:rsid w:val="00BB6A48"/>
    <w:rPr>
      <w:rFonts w:ascii="Arial" w:eastAsia="Times New Roman" w:hAnsi="Arial" w:cs="Times New Roman"/>
      <w:vanish/>
      <w:sz w:val="16"/>
      <w:szCs w:val="16"/>
      <w:lang w:val="x-none" w:eastAsia="x-none"/>
    </w:rPr>
  </w:style>
  <w:style w:type="paragraph" w:customStyle="1" w:styleId="Artigo-cabealho">
    <w:name w:val="Artigo - cabeçalho"/>
    <w:basedOn w:val="Normal"/>
    <w:link w:val="Artigo-cabealhoChar"/>
    <w:qFormat/>
    <w:rsid w:val="00BB6A48"/>
    <w:pPr>
      <w:autoSpaceDE w:val="0"/>
      <w:autoSpaceDN w:val="0"/>
      <w:adjustRightInd w:val="0"/>
      <w:spacing w:after="300" w:line="240" w:lineRule="auto"/>
      <w:jc w:val="center"/>
    </w:pPr>
    <w:rPr>
      <w:rFonts w:ascii="Times New Roman" w:eastAsia="Calibri" w:hAnsi="Times New Roman" w:cs="Times New Roman"/>
      <w:b/>
      <w:sz w:val="30"/>
      <w:szCs w:val="20"/>
      <w:lang w:val="en-US"/>
    </w:rPr>
  </w:style>
  <w:style w:type="character" w:customStyle="1" w:styleId="Artigo-cabealhoChar">
    <w:name w:val="Artigo - cabeçalho Char"/>
    <w:link w:val="Artigo-cabealho"/>
    <w:rsid w:val="00BB6A48"/>
    <w:rPr>
      <w:rFonts w:ascii="Times New Roman" w:eastAsia="Calibri" w:hAnsi="Times New Roman" w:cs="Times New Roman"/>
      <w:b/>
      <w:sz w:val="30"/>
      <w:szCs w:val="20"/>
      <w:lang w:val="en-US"/>
    </w:rPr>
  </w:style>
  <w:style w:type="paragraph" w:customStyle="1" w:styleId="heading1">
    <w:name w:val="heading1"/>
    <w:basedOn w:val="Normal"/>
    <w:next w:val="Normal"/>
    <w:qFormat/>
    <w:rsid w:val="00BB6A48"/>
    <w:pPr>
      <w:keepNext/>
      <w:keepLines/>
      <w:numPr>
        <w:numId w:val="6"/>
      </w:numPr>
      <w:suppressAutoHyphens/>
      <w:overflowPunct w:val="0"/>
      <w:autoSpaceDE w:val="0"/>
      <w:autoSpaceDN w:val="0"/>
      <w:adjustRightInd w:val="0"/>
      <w:spacing w:before="360" w:after="240" w:line="300" w:lineRule="atLeast"/>
      <w:textAlignment w:val="baseline"/>
      <w:outlineLvl w:val="0"/>
    </w:pPr>
    <w:rPr>
      <w:rFonts w:ascii="Times New Roman" w:eastAsia="Times New Roman" w:hAnsi="Times New Roman" w:cs="Times New Roman"/>
      <w:b/>
      <w:sz w:val="24"/>
      <w:szCs w:val="20"/>
      <w:lang w:val="en-US"/>
    </w:rPr>
  </w:style>
  <w:style w:type="paragraph" w:customStyle="1" w:styleId="heading2">
    <w:name w:val="heading2"/>
    <w:basedOn w:val="Normal"/>
    <w:next w:val="Normal"/>
    <w:qFormat/>
    <w:rsid w:val="00BB6A48"/>
    <w:pPr>
      <w:keepNext/>
      <w:keepLines/>
      <w:numPr>
        <w:ilvl w:val="1"/>
        <w:numId w:val="6"/>
      </w:numPr>
      <w:suppressAutoHyphens/>
      <w:overflowPunct w:val="0"/>
      <w:autoSpaceDE w:val="0"/>
      <w:autoSpaceDN w:val="0"/>
      <w:adjustRightInd w:val="0"/>
      <w:spacing w:before="360" w:line="240" w:lineRule="atLeast"/>
      <w:textAlignment w:val="baseline"/>
      <w:outlineLvl w:val="1"/>
    </w:pPr>
    <w:rPr>
      <w:rFonts w:ascii="Times New Roman" w:eastAsia="Times New Roman" w:hAnsi="Times New Roman" w:cs="Times New Roman"/>
      <w:b/>
      <w:sz w:val="20"/>
      <w:szCs w:val="20"/>
      <w:lang w:val="en-US"/>
    </w:rPr>
  </w:style>
  <w:style w:type="numbering" w:customStyle="1" w:styleId="headings">
    <w:name w:val="headings"/>
    <w:basedOn w:val="Semlista"/>
    <w:rsid w:val="00BB6A48"/>
    <w:pPr>
      <w:numPr>
        <w:numId w:val="6"/>
      </w:numPr>
    </w:pPr>
  </w:style>
  <w:style w:type="paragraph" w:customStyle="1" w:styleId="EndNoteBibliography">
    <w:name w:val="EndNote Bibliography"/>
    <w:basedOn w:val="Normal"/>
    <w:link w:val="EndNoteBibliographyChar"/>
    <w:rsid w:val="00BB6A48"/>
    <w:pPr>
      <w:overflowPunct w:val="0"/>
      <w:autoSpaceDE w:val="0"/>
      <w:autoSpaceDN w:val="0"/>
      <w:adjustRightInd w:val="0"/>
      <w:spacing w:after="0" w:line="240" w:lineRule="atLeast"/>
      <w:ind w:firstLine="227"/>
      <w:jc w:val="both"/>
      <w:textAlignment w:val="baseline"/>
    </w:pPr>
    <w:rPr>
      <w:rFonts w:ascii="Calibri" w:eastAsia="Times New Roman" w:hAnsi="Calibri" w:cs="Calibri"/>
      <w:noProof/>
      <w:szCs w:val="20"/>
      <w:lang w:val="en-US"/>
    </w:rPr>
  </w:style>
  <w:style w:type="character" w:customStyle="1" w:styleId="EndNoteBibliographyChar">
    <w:name w:val="EndNote Bibliography Char"/>
    <w:link w:val="EndNoteBibliography"/>
    <w:rsid w:val="00BB6A48"/>
    <w:rPr>
      <w:rFonts w:ascii="Calibri" w:eastAsia="Times New Roman" w:hAnsi="Calibri" w:cs="Calibri"/>
      <w:noProof/>
      <w:szCs w:val="20"/>
      <w:lang w:val="en-US"/>
    </w:rPr>
  </w:style>
  <w:style w:type="paragraph" w:customStyle="1" w:styleId="EndNoteBibliographyTitle">
    <w:name w:val="EndNote Bibliography Title"/>
    <w:basedOn w:val="Normal"/>
    <w:link w:val="EndNoteBibliographyTitleChar"/>
    <w:rsid w:val="00BB6A48"/>
    <w:pPr>
      <w:spacing w:after="0"/>
      <w:jc w:val="center"/>
    </w:pPr>
    <w:rPr>
      <w:rFonts w:ascii="Calibri" w:eastAsia="Calibri" w:hAnsi="Calibri" w:cs="Calibri"/>
      <w:noProof/>
      <w:lang w:val="en-US"/>
    </w:rPr>
  </w:style>
  <w:style w:type="character" w:customStyle="1" w:styleId="EndNoteBibliographyTitleChar">
    <w:name w:val="EndNote Bibliography Title Char"/>
    <w:link w:val="EndNoteBibliographyTitle"/>
    <w:rsid w:val="00BB6A48"/>
    <w:rPr>
      <w:rFonts w:ascii="Calibri" w:eastAsia="Calibri" w:hAnsi="Calibri" w:cs="Calibri"/>
      <w:noProof/>
      <w:lang w:val="en-US"/>
    </w:rPr>
  </w:style>
  <w:style w:type="character" w:customStyle="1" w:styleId="MenoPendente1">
    <w:name w:val="Menção Pendente1"/>
    <w:uiPriority w:val="99"/>
    <w:semiHidden/>
    <w:unhideWhenUsed/>
    <w:rsid w:val="00BB6A48"/>
    <w:rPr>
      <w:color w:val="808080"/>
      <w:shd w:val="clear" w:color="auto" w:fill="E6E6E6"/>
    </w:rPr>
  </w:style>
  <w:style w:type="paragraph" w:styleId="NormalWeb">
    <w:name w:val="Normal (Web)"/>
    <w:basedOn w:val="Normal"/>
    <w:uiPriority w:val="99"/>
    <w:unhideWhenUsed/>
    <w:rsid w:val="00BB6A4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hscoswrapper">
    <w:name w:val="hs_cos_wrapper"/>
    <w:rsid w:val="00BB6A48"/>
  </w:style>
  <w:style w:type="paragraph" w:styleId="Corpodetexto">
    <w:name w:val="Body Text"/>
    <w:basedOn w:val="Normal"/>
    <w:link w:val="CorpodetextoChar"/>
    <w:rsid w:val="00416CF9"/>
    <w:pPr>
      <w:suppressAutoHyphens/>
      <w:autoSpaceDE w:val="0"/>
      <w:spacing w:after="0" w:line="240" w:lineRule="auto"/>
      <w:jc w:val="both"/>
    </w:pPr>
    <w:rPr>
      <w:rFonts w:ascii="Times New Roman" w:eastAsia="Times New Roman" w:hAnsi="Times New Roman" w:cs="Times New Roman"/>
      <w:sz w:val="24"/>
      <w:szCs w:val="20"/>
      <w:lang w:val="x-none" w:eastAsia="ar-SA"/>
    </w:rPr>
  </w:style>
  <w:style w:type="character" w:customStyle="1" w:styleId="CorpodetextoChar">
    <w:name w:val="Corpo de texto Char"/>
    <w:basedOn w:val="Fontepargpadro"/>
    <w:link w:val="Corpodetexto"/>
    <w:rsid w:val="00416CF9"/>
    <w:rPr>
      <w:rFonts w:ascii="Times New Roman" w:eastAsia="Times New Roman" w:hAnsi="Times New Roman" w:cs="Times New Roman"/>
      <w:sz w:val="24"/>
      <w:szCs w:val="20"/>
      <w:lang w:val="x-none" w:eastAsia="ar-SA"/>
    </w:rPr>
  </w:style>
  <w:style w:type="character" w:customStyle="1" w:styleId="fontstyle01">
    <w:name w:val="fontstyle01"/>
    <w:rsid w:val="00416CF9"/>
    <w:rPr>
      <w:rFonts w:ascii="FuturaBT-Light" w:hAnsi="FuturaBT-Light" w:hint="default"/>
      <w:b w:val="0"/>
      <w:bCs w:val="0"/>
      <w:i w:val="0"/>
      <w:iCs w:val="0"/>
      <w:color w:val="242021"/>
      <w:sz w:val="24"/>
      <w:szCs w:val="24"/>
    </w:rPr>
  </w:style>
  <w:style w:type="paragraph" w:customStyle="1" w:styleId="msonormalcxspmiddle">
    <w:name w:val="msonormalcxspmiddle"/>
    <w:basedOn w:val="Normal"/>
    <w:uiPriority w:val="99"/>
    <w:rsid w:val="00416CF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normaltextrun">
    <w:name w:val="normaltextrun"/>
    <w:rsid w:val="00C8522E"/>
  </w:style>
  <w:style w:type="paragraph" w:customStyle="1" w:styleId="Abstract">
    <w:name w:val="Abstract"/>
    <w:basedOn w:val="Normal"/>
    <w:rsid w:val="00C8522E"/>
    <w:pPr>
      <w:tabs>
        <w:tab w:val="left" w:pos="720"/>
      </w:tabs>
      <w:spacing w:before="120" w:after="120" w:line="240" w:lineRule="auto"/>
      <w:ind w:left="454" w:right="454"/>
      <w:jc w:val="both"/>
    </w:pPr>
    <w:rPr>
      <w:rFonts w:ascii="Times" w:eastAsia="Times New Roman" w:hAnsi="Times" w:cs="Times New Roman"/>
      <w:i/>
      <w:sz w:val="24"/>
      <w:szCs w:val="24"/>
      <w:lang w:eastAsia="pt-BR"/>
    </w:rPr>
  </w:style>
  <w:style w:type="paragraph" w:styleId="SemEspaamento">
    <w:name w:val="No Spacing"/>
    <w:uiPriority w:val="1"/>
    <w:qFormat/>
    <w:rsid w:val="00C8522E"/>
    <w:pPr>
      <w:spacing w:after="0" w:line="240" w:lineRule="auto"/>
    </w:pPr>
    <w:rPr>
      <w:rFonts w:ascii="Calibri" w:eastAsia="Calibri" w:hAnsi="Calibri" w:cs="Times New Roman"/>
    </w:rPr>
  </w:style>
  <w:style w:type="character" w:customStyle="1" w:styleId="MenoPendente2">
    <w:name w:val="Menção Pendente2"/>
    <w:basedOn w:val="Fontepargpadro"/>
    <w:uiPriority w:val="99"/>
    <w:semiHidden/>
    <w:unhideWhenUsed/>
    <w:rsid w:val="006253DB"/>
    <w:rPr>
      <w:color w:val="605E5C"/>
      <w:shd w:val="clear" w:color="auto" w:fill="E1DFDD"/>
    </w:rPr>
  </w:style>
  <w:style w:type="character" w:customStyle="1" w:styleId="MenoPendente3">
    <w:name w:val="Menção Pendente3"/>
    <w:basedOn w:val="Fontepargpadro"/>
    <w:uiPriority w:val="99"/>
    <w:semiHidden/>
    <w:unhideWhenUsed/>
    <w:rsid w:val="0059189F"/>
    <w:rPr>
      <w:color w:val="605E5C"/>
      <w:shd w:val="clear" w:color="auto" w:fill="E1DFDD"/>
    </w:rPr>
  </w:style>
  <w:style w:type="character" w:styleId="HiperlinkVisitado">
    <w:name w:val="FollowedHyperlink"/>
    <w:basedOn w:val="Fontepargpadro"/>
    <w:uiPriority w:val="99"/>
    <w:semiHidden/>
    <w:unhideWhenUsed/>
    <w:rsid w:val="00754D25"/>
    <w:rPr>
      <w:color w:val="954F72" w:themeColor="followedHyperlink"/>
      <w:u w:val="single"/>
    </w:rPr>
  </w:style>
  <w:style w:type="character" w:customStyle="1" w:styleId="UnresolvedMention">
    <w:name w:val="Unresolved Mention"/>
    <w:basedOn w:val="Fontepargpadro"/>
    <w:uiPriority w:val="99"/>
    <w:semiHidden/>
    <w:unhideWhenUsed/>
    <w:rsid w:val="00421D36"/>
    <w:rPr>
      <w:color w:val="605E5C"/>
      <w:shd w:val="clear" w:color="auto" w:fill="E1DFDD"/>
    </w:rPr>
  </w:style>
  <w:style w:type="table" w:styleId="TabeladeGrade4-nfase3">
    <w:name w:val="Grid Table 4 Accent 3"/>
    <w:basedOn w:val="Tabelanormal"/>
    <w:uiPriority w:val="49"/>
    <w:rsid w:val="00290E4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0990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ieeeauthorcenter.ieee.org/wp-content/uploads/IEEE-Reference-Guide.pdf" TargetMode="External"/><Relationship Id="rId10" Type="http://schemas.openxmlformats.org/officeDocument/2006/relationships/image" Target="https://upload.wikimedia.org/wikipedia/commons/thumb/1/16/CC-BY_icon.svg/1024px-CC-BY_icon.svg.p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8" Type="http://schemas.openxmlformats.org/officeDocument/2006/relationships/header" Target="header3.xm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tif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84254F9-834C-479C-B450-C9F1341C4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1688</TotalTime>
  <Pages>3</Pages>
  <Words>1116</Words>
  <Characters>6028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Attenuation-Corrected Matched Filter with Closed-Loop Gain Design for News-Sentiment Aggregation in Equity Forecasting</dc:title>
  <dc:subject/>
  <dc:creator>Anandkumar Pardeshi; Sujata Deshmukh</dc:creator>
  <cp:keywords/>
  <dc:description/>
  <cp:lastModifiedBy>Anandkumar Pardeshi</cp:lastModifiedBy>
  <cp:revision>3476</cp:revision>
  <cp:lastPrinted>2019-06-03T13:45:00Z</cp:lastPrinted>
  <dcterms:created xsi:type="dcterms:W3CDTF">2019-11-06T14:29:00Z</dcterms:created>
  <dcterms:modified xsi:type="dcterms:W3CDTF">2025-07-07T13:29:00Z</dcterms:modified>
</cp:coreProperties>
</file>