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48398" w14:textId="77777777" w:rsidR="00B177EC" w:rsidRDefault="00000000">
      <w:pPr>
        <w:spacing w:before="240" w:after="80"/>
      </w:pPr>
      <w:r>
        <w:rPr>
          <w:b/>
          <w:color w:val="666666"/>
          <w:sz w:val="20"/>
        </w:rPr>
        <w:t>LEISTUNGSBESCHREIBUNG</w:t>
      </w:r>
    </w:p>
    <w:p w14:paraId="51194D43" w14:textId="77777777" w:rsidR="00B177EC" w:rsidRDefault="00000000">
      <w:pPr>
        <w:spacing w:after="120"/>
      </w:pPr>
      <w:r>
        <w:rPr>
          <w:b/>
          <w:color w:val="0B2545"/>
          <w:sz w:val="46"/>
        </w:rPr>
        <w:t>Einführung eines Joomla-basierten CMS für das Guben Cockpit</w:t>
      </w:r>
    </w:p>
    <w:p w14:paraId="52B5E485" w14:textId="77777777" w:rsidR="00B177EC" w:rsidRDefault="00000000">
      <w:pPr>
        <w:spacing w:after="320"/>
      </w:pPr>
      <w:r>
        <w:rPr>
          <w:color w:val="666666"/>
          <w:sz w:val="24"/>
        </w:rPr>
        <w:t>Lösungsoffene Ausschreibung für Konzeption, Migration, Implementierung und Betriebsvorbereitung</w:t>
      </w:r>
    </w:p>
    <w:tbl>
      <w:tblPr>
        <w:tblStyle w:val="Tabellenraster"/>
        <w:tblW w:w="9360" w:type="dxa"/>
        <w:tblInd w:w="120" w:type="dxa"/>
        <w:tblLayout w:type="fixed"/>
        <w:tblLook w:val="04A0" w:firstRow="1" w:lastRow="0" w:firstColumn="1" w:lastColumn="0" w:noHBand="0" w:noVBand="1"/>
      </w:tblPr>
      <w:tblGrid>
        <w:gridCol w:w="2700"/>
        <w:gridCol w:w="6660"/>
      </w:tblGrid>
      <w:tr w:rsidR="00B177EC" w14:paraId="40A7315F" w14:textId="77777777">
        <w:trPr>
          <w:cantSplit/>
        </w:trPr>
        <w:tc>
          <w:tcPr>
            <w:tcW w:w="2700" w:type="dxa"/>
            <w:shd w:val="clear" w:color="auto" w:fill="F2F4F7"/>
            <w:tcMar>
              <w:top w:w="80" w:type="dxa"/>
              <w:left w:w="120" w:type="dxa"/>
              <w:bottom w:w="80" w:type="dxa"/>
              <w:right w:w="120" w:type="dxa"/>
            </w:tcMar>
            <w:vAlign w:val="center"/>
          </w:tcPr>
          <w:p w14:paraId="270CB2B6" w14:textId="77777777" w:rsidR="00B177EC" w:rsidRDefault="00000000">
            <w:pPr>
              <w:spacing w:line="252" w:lineRule="auto"/>
            </w:pPr>
            <w:r>
              <w:rPr>
                <w:b/>
                <w:color w:val="0B2545"/>
                <w:sz w:val="19"/>
              </w:rPr>
              <w:t>Auftraggeber</w:t>
            </w:r>
          </w:p>
        </w:tc>
        <w:tc>
          <w:tcPr>
            <w:tcW w:w="6660" w:type="dxa"/>
            <w:shd w:val="clear" w:color="auto" w:fill="F2F4F7"/>
            <w:tcMar>
              <w:top w:w="80" w:type="dxa"/>
              <w:left w:w="120" w:type="dxa"/>
              <w:bottom w:w="80" w:type="dxa"/>
              <w:right w:w="120" w:type="dxa"/>
            </w:tcMar>
            <w:vAlign w:val="center"/>
          </w:tcPr>
          <w:p w14:paraId="2D30B547" w14:textId="77777777" w:rsidR="00B177EC" w:rsidRDefault="00000000">
            <w:pPr>
              <w:spacing w:line="252" w:lineRule="auto"/>
            </w:pPr>
            <w:r>
              <w:rPr>
                <w:b/>
                <w:color w:val="0B2545"/>
                <w:sz w:val="19"/>
              </w:rPr>
              <w:t>Projekt</w:t>
            </w:r>
          </w:p>
        </w:tc>
      </w:tr>
      <w:tr w:rsidR="00B177EC" w14:paraId="322290E0" w14:textId="77777777">
        <w:trPr>
          <w:cantSplit/>
        </w:trPr>
        <w:tc>
          <w:tcPr>
            <w:tcW w:w="2700" w:type="dxa"/>
            <w:tcMar>
              <w:top w:w="80" w:type="dxa"/>
              <w:left w:w="120" w:type="dxa"/>
              <w:bottom w:w="80" w:type="dxa"/>
              <w:right w:w="120" w:type="dxa"/>
            </w:tcMar>
            <w:vAlign w:val="center"/>
          </w:tcPr>
          <w:p w14:paraId="691DD569" w14:textId="77777777" w:rsidR="00B177EC" w:rsidRDefault="00000000">
            <w:pPr>
              <w:spacing w:line="252" w:lineRule="auto"/>
            </w:pPr>
            <w:r>
              <w:rPr>
                <w:color w:val="000000"/>
                <w:sz w:val="19"/>
              </w:rPr>
              <w:t>Stadt Guben / Auftraggeber</w:t>
            </w:r>
          </w:p>
        </w:tc>
        <w:tc>
          <w:tcPr>
            <w:tcW w:w="6660" w:type="dxa"/>
            <w:tcMar>
              <w:top w:w="80" w:type="dxa"/>
              <w:left w:w="120" w:type="dxa"/>
              <w:bottom w:w="80" w:type="dxa"/>
              <w:right w:w="120" w:type="dxa"/>
            </w:tcMar>
            <w:vAlign w:val="center"/>
          </w:tcPr>
          <w:p w14:paraId="38911D6C" w14:textId="77777777" w:rsidR="00B177EC" w:rsidRDefault="00000000">
            <w:pPr>
              <w:spacing w:line="252" w:lineRule="auto"/>
            </w:pPr>
            <w:r>
              <w:rPr>
                <w:color w:val="000000"/>
                <w:sz w:val="19"/>
              </w:rPr>
              <w:t>Guben Cockpit – künftiges CMS und Gestaltungssystem</w:t>
            </w:r>
          </w:p>
        </w:tc>
      </w:tr>
    </w:tbl>
    <w:p w14:paraId="731CB6A4" w14:textId="77777777" w:rsidR="00B177EC" w:rsidRDefault="00B177EC">
      <w:pPr>
        <w:spacing w:after="40"/>
      </w:pPr>
    </w:p>
    <w:p w14:paraId="2F97A68B" w14:textId="77777777" w:rsidR="00B177EC" w:rsidRDefault="00000000">
      <w:pPr>
        <w:keepNext/>
        <w:spacing w:before="320" w:after="160"/>
      </w:pPr>
      <w:r>
        <w:rPr>
          <w:b/>
          <w:color w:val="2E74B5"/>
          <w:sz w:val="32"/>
        </w:rPr>
        <w:t>1. Gegenstand der Ausschreibung</w:t>
      </w:r>
    </w:p>
    <w:p w14:paraId="67DCEACD" w14:textId="77777777" w:rsidR="00B177EC" w:rsidRDefault="00000000">
      <w:pPr>
        <w:spacing w:after="120" w:line="264" w:lineRule="auto"/>
      </w:pPr>
      <w:r>
        <w:rPr>
          <w:color w:val="000000"/>
        </w:rPr>
        <w:t>Gegenstand der Ausschreibung ist die Konzeption, Umsetzung, Migration und Dokumentation einer zukünftigen Content-Management- und Gestaltungslösung auf Basis von Joomla für das Guben Cockpit.</w:t>
      </w:r>
    </w:p>
    <w:p w14:paraId="21289F2E" w14:textId="77777777" w:rsidR="00B177EC" w:rsidRDefault="00000000">
      <w:pPr>
        <w:spacing w:after="120" w:line="264" w:lineRule="auto"/>
      </w:pPr>
      <w:r>
        <w:rPr>
          <w:color w:val="000000"/>
        </w:rPr>
        <w:t>Ziel ist, redaktionelle Inhalte, Seitenstrukturen, Medien, Navigation und gestaltbare Inhaltsbereiche langfristig über eine nutzerfreundliche, sichere und wartbare CMS-Lösung zu verwalten. Zugleich sollen die vorhandenen Funktionen, Integrationen und möglichst große Teile des bestehenden Frontend-Codes erhalten bleiben.</w:t>
      </w:r>
    </w:p>
    <w:p w14:paraId="2E6F5FFC" w14:textId="77777777" w:rsidR="00B177EC" w:rsidRDefault="00000000">
      <w:pPr>
        <w:spacing w:after="120" w:line="264" w:lineRule="auto"/>
      </w:pPr>
      <w:r>
        <w:rPr>
          <w:color w:val="000000"/>
        </w:rPr>
        <w:t>Die Ausschreibung schreibt nicht vor, ob Joomla als Headless-CMS in das bestehende Cockpit integriert wird, künftig die führende Web- und CMS-Plattform bildet oder schrittweise in einer hybriden Architektur eingeführt wird. Der Auftragnehmer entwickelt und bewertet die geeignete Zielarchitektur. Die Auswahl erfolgt nach Vorstellung der Varianten und Freigabe durch den Auftraggeber.</w:t>
      </w:r>
    </w:p>
    <w:p w14:paraId="01C209D6" w14:textId="77777777" w:rsidR="00B177EC" w:rsidRDefault="00000000">
      <w:pPr>
        <w:keepNext/>
        <w:spacing w:before="320" w:after="160"/>
      </w:pPr>
      <w:r>
        <w:rPr>
          <w:b/>
          <w:color w:val="2E74B5"/>
          <w:sz w:val="32"/>
        </w:rPr>
        <w:t>2. Technischer Bestand</w:t>
      </w:r>
    </w:p>
    <w:p w14:paraId="0C000E91" w14:textId="77777777" w:rsidR="00B177EC" w:rsidRDefault="00000000">
      <w:pPr>
        <w:spacing w:after="120" w:line="264" w:lineRule="auto"/>
      </w:pPr>
      <w:r>
        <w:rPr>
          <w:color w:val="000000"/>
        </w:rPr>
        <w:t>Das aktuelle Guben Cockpit ist eine bestehende öffentliche Webanwendung. Der technische Bestand umfasst ein React-/Vite-Frontend, ein serverseitiges Content Gateway auf Node.js/TypeScript- und Fastify-Basis sowie eine lesende Datenzugriffsschicht über PostgREST auf PostgreSQL.</w:t>
      </w:r>
    </w:p>
    <w:p w14:paraId="793B9084" w14:textId="77777777" w:rsidR="00B177EC" w:rsidRDefault="00000000">
      <w:pPr>
        <w:spacing w:after="120" w:line="264" w:lineRule="auto"/>
      </w:pPr>
      <w:r>
        <w:rPr>
          <w:color w:val="000000"/>
        </w:rPr>
        <w:t>Das Content Gateway bündelt öffentliche Inhalte unter /api/content/*. Es bindet den SVA-Mainserver / Smart Village serverseitig über OAuth 2.0 und GraphQL an. Weitere bestehende Dienste umfassen insbesondere Biletado / Booking, Buildplace, Karten-, Übersetzungs- und Analysedienste.</w:t>
      </w:r>
    </w:p>
    <w:p w14:paraId="7D23FF7E" w14:textId="77777777" w:rsidR="00B177EC" w:rsidRDefault="00000000">
      <w:pPr>
        <w:spacing w:after="120" w:line="264" w:lineRule="auto"/>
      </w:pPr>
      <w:r>
        <w:rPr>
          <w:color w:val="000000"/>
        </w:rPr>
        <w:t>Der aktuelle Quellcode und die technische Dokumentation stehen dem Auftragnehmer zur Bestandsaufnahme zur Verfügung. Repository: git@github.com:smart-village-solutions/guben-cockpit-old.git. Maßgebliche Einstiegspunkte sind README.md, docs/system-documentation.md, docs/arc42.md sowie die dort referenzierten Schnittstellen- und Betriebsdokumentationen.</w:t>
      </w:r>
    </w:p>
    <w:p w14:paraId="690D76BD" w14:textId="77777777" w:rsidR="00B177EC" w:rsidRDefault="00000000">
      <w:pPr>
        <w:spacing w:after="120" w:line="264" w:lineRule="auto"/>
      </w:pPr>
      <w:r>
        <w:rPr>
          <w:color w:val="000000"/>
        </w:rPr>
        <w:lastRenderedPageBreak/>
        <w:t>Der Zugriff auf Repository, Testumgebung, Konfigurationen und weitere technische Unterlagen wird im Rahmen der Beauftragung geregelt. Zugangsdaten zu produktiven Systemen werden ausschließlich nach dem Prinzip der minimalen Berechtigung bereitgestellt.</w:t>
      </w:r>
    </w:p>
    <w:p w14:paraId="44911524" w14:textId="77777777" w:rsidR="00B177EC" w:rsidRDefault="00000000">
      <w:pPr>
        <w:keepNext/>
        <w:spacing w:before="320" w:after="160"/>
      </w:pPr>
      <w:r>
        <w:rPr>
          <w:b/>
          <w:color w:val="2E74B5"/>
          <w:sz w:val="32"/>
        </w:rPr>
        <w:t>3. Zielbild und verbindliche Rahmenbedingungen</w:t>
      </w:r>
    </w:p>
    <w:p w14:paraId="0CE4CFD0" w14:textId="77777777" w:rsidR="00B177EC" w:rsidRDefault="00000000">
      <w:pPr>
        <w:spacing w:after="120" w:line="264" w:lineRule="auto"/>
      </w:pPr>
      <w:r>
        <w:rPr>
          <w:color w:val="000000"/>
        </w:rPr>
        <w:t>Der Auftragnehmer entwickelt eine technisch, wirtschaftlich und betrieblich geeignete Zielarchitektur für Joomla und das Guben Cockpit. Die folgenden Anforderungen gelten unabhängig von der gewählten Architektur.</w:t>
      </w:r>
    </w:p>
    <w:p w14:paraId="410507D9" w14:textId="77777777" w:rsidR="00B177EC" w:rsidRDefault="00000000">
      <w:pPr>
        <w:spacing w:after="80" w:line="264" w:lineRule="auto"/>
      </w:pPr>
      <w:r>
        <w:rPr>
          <w:color w:val="000000"/>
        </w:rPr>
        <w:t>1. Joomla wird als zentrale Redaktions- und Gestaltungslösung eingeführt.</w:t>
      </w:r>
    </w:p>
    <w:p w14:paraId="790AECE4" w14:textId="77777777" w:rsidR="00B177EC" w:rsidRDefault="00000000">
      <w:pPr>
        <w:spacing w:after="80" w:line="264" w:lineRule="auto"/>
      </w:pPr>
      <w:r>
        <w:rPr>
          <w:color w:val="000000"/>
        </w:rPr>
        <w:t>2. Vorhandener Frontend-Code, Komponenten, Styles, responsive Darstellung und vorhandene Nutzerführung sind soweit technisch und wirtschaftlich sinnvoll weiterzuverwenden.</w:t>
      </w:r>
    </w:p>
    <w:p w14:paraId="332ED799" w14:textId="77777777" w:rsidR="00B177EC" w:rsidRDefault="00000000">
      <w:pPr>
        <w:spacing w:after="80" w:line="264" w:lineRule="auto"/>
      </w:pPr>
      <w:r>
        <w:rPr>
          <w:color w:val="000000"/>
        </w:rPr>
        <w:t>3. Eine vollständige Neuentwicklung des Frontends ist nur nach begründeter Variantenbetrachtung und schriftlicher Freigabe durch den Auftraggeber zulässig.</w:t>
      </w:r>
    </w:p>
    <w:p w14:paraId="2711CA4C" w14:textId="77777777" w:rsidR="00B177EC" w:rsidRDefault="00000000">
      <w:pPr>
        <w:spacing w:after="80" w:line="264" w:lineRule="auto"/>
      </w:pPr>
      <w:r>
        <w:rPr>
          <w:color w:val="000000"/>
        </w:rPr>
        <w:t>4. Biletado, Mainserver / Smart Village und Buildplace bleiben für die jeweils dort geführten fachlichen Daten führende Systeme.</w:t>
      </w:r>
    </w:p>
    <w:p w14:paraId="708A848C" w14:textId="77777777" w:rsidR="00B177EC" w:rsidRDefault="00000000">
      <w:pPr>
        <w:spacing w:after="80" w:line="264" w:lineRule="auto"/>
      </w:pPr>
      <w:r>
        <w:rPr>
          <w:color w:val="000000"/>
        </w:rPr>
        <w:t>5. Joomla darf keine unkontrollierten oder widersprüchlichen parallelen Datenbestände zu den Fachsystemen erzeugen.</w:t>
      </w:r>
    </w:p>
    <w:p w14:paraId="0D0BDEE1" w14:textId="77777777" w:rsidR="00B177EC" w:rsidRDefault="00000000">
      <w:pPr>
        <w:spacing w:after="80" w:line="264" w:lineRule="auto"/>
      </w:pPr>
      <w:r>
        <w:rPr>
          <w:color w:val="000000"/>
        </w:rPr>
        <w:t>6. Bestehende Schnittstellen, Datenflüsse und Nutzungsfälle sind funktional zu erhalten oder abgestimmt fachlich gleichwertig zu migrieren.</w:t>
      </w:r>
    </w:p>
    <w:p w14:paraId="1B72267F" w14:textId="77777777" w:rsidR="00B177EC" w:rsidRDefault="00000000">
      <w:pPr>
        <w:spacing w:after="80" w:line="264" w:lineRule="auto"/>
      </w:pPr>
      <w:r>
        <w:rPr>
          <w:color w:val="000000"/>
        </w:rPr>
        <w:t>7. Tokens, OAuth-Client-Secrets und weitere technische Zugangsdaten externer Systeme bleiben ausschließlich serverseitig und dürfen weder im Browser noch in redaktionell zugänglichen Konfigurationen offengelegt werden.</w:t>
      </w:r>
    </w:p>
    <w:p w14:paraId="053B97ED" w14:textId="77777777" w:rsidR="00B177EC" w:rsidRDefault="00000000">
      <w:pPr>
        <w:spacing w:after="80" w:line="264" w:lineRule="auto"/>
      </w:pPr>
      <w:r>
        <w:rPr>
          <w:color w:val="000000"/>
        </w:rPr>
        <w:t>8. Die resultierende Lösung muss wartbar, updatefähig, dokumentiert, sicher betreibbar und für kommunale Redaktionsprozesse geeignet sein.</w:t>
      </w:r>
    </w:p>
    <w:p w14:paraId="5A402501" w14:textId="77777777" w:rsidR="00B177EC" w:rsidRDefault="00000000">
      <w:pPr>
        <w:keepNext/>
        <w:spacing w:before="320" w:after="160"/>
      </w:pPr>
      <w:r>
        <w:rPr>
          <w:b/>
          <w:color w:val="2E74B5"/>
          <w:sz w:val="32"/>
        </w:rPr>
        <w:t>4. Bestehende Fachintegrationen</w:t>
      </w:r>
    </w:p>
    <w:p w14:paraId="69D88342" w14:textId="77777777" w:rsidR="00B177EC" w:rsidRDefault="00000000">
      <w:pPr>
        <w:spacing w:after="120" w:line="264" w:lineRule="auto"/>
      </w:pPr>
      <w:r>
        <w:rPr>
          <w:color w:val="000000"/>
        </w:rPr>
        <w:t>Der Auftragnehmer erfasst die vorhandenen Integrationen in einer Schnittstelleninventur, ordnet diese fachlich zu und sichert sie während der Umsetzung ab.</w:t>
      </w:r>
    </w:p>
    <w:tbl>
      <w:tblPr>
        <w:tblStyle w:val="Tabellenraster"/>
        <w:tblW w:w="9360" w:type="dxa"/>
        <w:tblInd w:w="120" w:type="dxa"/>
        <w:tblLayout w:type="fixed"/>
        <w:tblLook w:val="04A0" w:firstRow="1" w:lastRow="0" w:firstColumn="1" w:lastColumn="0" w:noHBand="0" w:noVBand="1"/>
      </w:tblPr>
      <w:tblGrid>
        <w:gridCol w:w="1900"/>
        <w:gridCol w:w="2500"/>
        <w:gridCol w:w="4960"/>
      </w:tblGrid>
      <w:tr w:rsidR="00B177EC" w14:paraId="7D7F6613" w14:textId="77777777">
        <w:trPr>
          <w:cantSplit/>
        </w:trPr>
        <w:tc>
          <w:tcPr>
            <w:tcW w:w="1900" w:type="dxa"/>
            <w:shd w:val="clear" w:color="auto" w:fill="F2F4F7"/>
            <w:tcMar>
              <w:top w:w="80" w:type="dxa"/>
              <w:left w:w="120" w:type="dxa"/>
              <w:bottom w:w="80" w:type="dxa"/>
              <w:right w:w="120" w:type="dxa"/>
            </w:tcMar>
            <w:vAlign w:val="center"/>
          </w:tcPr>
          <w:p w14:paraId="32306A65" w14:textId="77777777" w:rsidR="00B177EC" w:rsidRDefault="00000000">
            <w:pPr>
              <w:spacing w:line="252" w:lineRule="auto"/>
            </w:pPr>
            <w:r>
              <w:rPr>
                <w:b/>
                <w:color w:val="0B2545"/>
                <w:sz w:val="19"/>
              </w:rPr>
              <w:t>Bereich</w:t>
            </w:r>
          </w:p>
        </w:tc>
        <w:tc>
          <w:tcPr>
            <w:tcW w:w="2500" w:type="dxa"/>
            <w:shd w:val="clear" w:color="auto" w:fill="F2F4F7"/>
            <w:tcMar>
              <w:top w:w="80" w:type="dxa"/>
              <w:left w:w="120" w:type="dxa"/>
              <w:bottom w:w="80" w:type="dxa"/>
              <w:right w:w="120" w:type="dxa"/>
            </w:tcMar>
            <w:vAlign w:val="center"/>
          </w:tcPr>
          <w:p w14:paraId="066E825B" w14:textId="77777777" w:rsidR="00B177EC" w:rsidRDefault="00000000">
            <w:pPr>
              <w:spacing w:line="252" w:lineRule="auto"/>
            </w:pPr>
            <w:r>
              <w:rPr>
                <w:b/>
                <w:color w:val="0B2545"/>
                <w:sz w:val="19"/>
              </w:rPr>
              <w:t>Führendes System / Bestand</w:t>
            </w:r>
          </w:p>
        </w:tc>
        <w:tc>
          <w:tcPr>
            <w:tcW w:w="4960" w:type="dxa"/>
            <w:shd w:val="clear" w:color="auto" w:fill="F2F4F7"/>
            <w:tcMar>
              <w:top w:w="80" w:type="dxa"/>
              <w:left w:w="120" w:type="dxa"/>
              <w:bottom w:w="80" w:type="dxa"/>
              <w:right w:w="120" w:type="dxa"/>
            </w:tcMar>
            <w:vAlign w:val="center"/>
          </w:tcPr>
          <w:p w14:paraId="588B927B" w14:textId="77777777" w:rsidR="00B177EC" w:rsidRDefault="00000000">
            <w:pPr>
              <w:spacing w:line="252" w:lineRule="auto"/>
            </w:pPr>
            <w:r>
              <w:rPr>
                <w:b/>
                <w:color w:val="0B2545"/>
                <w:sz w:val="19"/>
              </w:rPr>
              <w:t>Anforderung an die Zielarchitektur</w:t>
            </w:r>
          </w:p>
        </w:tc>
      </w:tr>
      <w:tr w:rsidR="00B177EC" w14:paraId="237C954C" w14:textId="77777777">
        <w:trPr>
          <w:cantSplit/>
        </w:trPr>
        <w:tc>
          <w:tcPr>
            <w:tcW w:w="1900" w:type="dxa"/>
            <w:tcMar>
              <w:top w:w="80" w:type="dxa"/>
              <w:left w:w="120" w:type="dxa"/>
              <w:bottom w:w="80" w:type="dxa"/>
              <w:right w:w="120" w:type="dxa"/>
            </w:tcMar>
            <w:vAlign w:val="center"/>
          </w:tcPr>
          <w:p w14:paraId="1B7BEE9A" w14:textId="77777777" w:rsidR="00B177EC" w:rsidRDefault="00000000">
            <w:pPr>
              <w:spacing w:line="252" w:lineRule="auto"/>
            </w:pPr>
            <w:r>
              <w:rPr>
                <w:color w:val="000000"/>
                <w:sz w:val="19"/>
              </w:rPr>
              <w:t>Veranstaltungen und POIs</w:t>
            </w:r>
          </w:p>
        </w:tc>
        <w:tc>
          <w:tcPr>
            <w:tcW w:w="2500" w:type="dxa"/>
            <w:tcMar>
              <w:top w:w="80" w:type="dxa"/>
              <w:left w:w="120" w:type="dxa"/>
              <w:bottom w:w="80" w:type="dxa"/>
              <w:right w:w="120" w:type="dxa"/>
            </w:tcMar>
            <w:vAlign w:val="center"/>
          </w:tcPr>
          <w:p w14:paraId="7C7D3B9F" w14:textId="77777777" w:rsidR="00B177EC" w:rsidRDefault="00000000">
            <w:pPr>
              <w:spacing w:line="252" w:lineRule="auto"/>
            </w:pPr>
            <w:r>
              <w:rPr>
                <w:color w:val="000000"/>
                <w:sz w:val="19"/>
              </w:rPr>
              <w:t>Mainserver / Smart Village</w:t>
            </w:r>
          </w:p>
        </w:tc>
        <w:tc>
          <w:tcPr>
            <w:tcW w:w="4960" w:type="dxa"/>
            <w:tcMar>
              <w:top w:w="80" w:type="dxa"/>
              <w:left w:w="120" w:type="dxa"/>
              <w:bottom w:w="80" w:type="dxa"/>
              <w:right w:w="120" w:type="dxa"/>
            </w:tcMar>
            <w:vAlign w:val="center"/>
          </w:tcPr>
          <w:p w14:paraId="6B652D02" w14:textId="77777777" w:rsidR="00B177EC" w:rsidRDefault="00000000">
            <w:pPr>
              <w:spacing w:line="252" w:lineRule="auto"/>
            </w:pPr>
            <w:r>
              <w:rPr>
                <w:color w:val="000000"/>
                <w:sz w:val="19"/>
              </w:rPr>
              <w:t>Datenübernahme, Sichtbarkeitsregeln, Filter und Darstellungslogik erhalten oder abgestimmt migrieren.</w:t>
            </w:r>
          </w:p>
        </w:tc>
      </w:tr>
      <w:tr w:rsidR="00EA0737" w14:paraId="086C144B" w14:textId="77777777">
        <w:trPr>
          <w:cantSplit/>
        </w:trPr>
        <w:tc>
          <w:tcPr>
            <w:tcW w:w="1900" w:type="dxa"/>
            <w:tcMar>
              <w:top w:w="80" w:type="dxa"/>
              <w:left w:w="120" w:type="dxa"/>
              <w:bottom w:w="80" w:type="dxa"/>
              <w:right w:w="120" w:type="dxa"/>
            </w:tcMar>
            <w:vAlign w:val="center"/>
          </w:tcPr>
          <w:p w14:paraId="7D7849EA" w14:textId="1BEA2EB3" w:rsidR="00EA0737" w:rsidRDefault="00EA0737" w:rsidP="00EA0737">
            <w:pPr>
              <w:spacing w:line="252" w:lineRule="auto"/>
            </w:pPr>
            <w:r>
              <w:rPr>
                <w:color w:val="000000"/>
                <w:sz w:val="19"/>
              </w:rPr>
              <w:t xml:space="preserve">Projekte, </w:t>
            </w:r>
            <w:proofErr w:type="spellStart"/>
            <w:r>
              <w:rPr>
                <w:color w:val="000000"/>
                <w:sz w:val="19"/>
              </w:rPr>
              <w:t>Kacheln</w:t>
            </w:r>
            <w:proofErr w:type="spellEnd"/>
            <w:r>
              <w:rPr>
                <w:color w:val="000000"/>
                <w:sz w:val="19"/>
              </w:rPr>
              <w:t>, FAQ</w:t>
            </w:r>
          </w:p>
        </w:tc>
        <w:tc>
          <w:tcPr>
            <w:tcW w:w="2500" w:type="dxa"/>
            <w:tcMar>
              <w:top w:w="80" w:type="dxa"/>
              <w:left w:w="120" w:type="dxa"/>
              <w:bottom w:w="80" w:type="dxa"/>
              <w:right w:w="120" w:type="dxa"/>
            </w:tcMar>
            <w:vAlign w:val="center"/>
          </w:tcPr>
          <w:p w14:paraId="0AB896E3" w14:textId="443F5AB6" w:rsidR="00EA0737" w:rsidRDefault="00EA0737" w:rsidP="00EA0737">
            <w:pPr>
              <w:spacing w:line="252" w:lineRule="auto"/>
            </w:pPr>
            <w:proofErr w:type="spellStart"/>
            <w:r>
              <w:rPr>
                <w:color w:val="000000"/>
                <w:sz w:val="19"/>
              </w:rPr>
              <w:t>Mainserver</w:t>
            </w:r>
            <w:proofErr w:type="spellEnd"/>
            <w:r>
              <w:rPr>
                <w:color w:val="000000"/>
                <w:sz w:val="19"/>
              </w:rPr>
              <w:t xml:space="preserve"> / Smart Village</w:t>
            </w:r>
          </w:p>
        </w:tc>
        <w:tc>
          <w:tcPr>
            <w:tcW w:w="4960" w:type="dxa"/>
            <w:tcMar>
              <w:top w:w="80" w:type="dxa"/>
              <w:left w:w="120" w:type="dxa"/>
              <w:bottom w:w="80" w:type="dxa"/>
              <w:right w:w="120" w:type="dxa"/>
            </w:tcMar>
            <w:vAlign w:val="center"/>
          </w:tcPr>
          <w:p w14:paraId="66814620" w14:textId="77777777" w:rsidR="00EA0737" w:rsidRDefault="00EA0737" w:rsidP="00EA0737">
            <w:pPr>
              <w:spacing w:line="252" w:lineRule="auto"/>
            </w:pPr>
            <w:r>
              <w:rPr>
                <w:color w:val="000000"/>
                <w:sz w:val="19"/>
              </w:rPr>
              <w:t>Für Joomla als redaktionell pflegbare Inhalte bewerten und geeignet überführen.</w:t>
            </w:r>
          </w:p>
        </w:tc>
      </w:tr>
      <w:tr w:rsidR="00B177EC" w14:paraId="23CC4A0B" w14:textId="77777777">
        <w:trPr>
          <w:cantSplit/>
        </w:trPr>
        <w:tc>
          <w:tcPr>
            <w:tcW w:w="1900" w:type="dxa"/>
            <w:tcMar>
              <w:top w:w="80" w:type="dxa"/>
              <w:left w:w="120" w:type="dxa"/>
              <w:bottom w:w="80" w:type="dxa"/>
              <w:right w:w="120" w:type="dxa"/>
            </w:tcMar>
            <w:vAlign w:val="center"/>
          </w:tcPr>
          <w:p w14:paraId="15FC3E25" w14:textId="77777777" w:rsidR="00B177EC" w:rsidRDefault="00000000">
            <w:pPr>
              <w:spacing w:line="252" w:lineRule="auto"/>
            </w:pPr>
            <w:proofErr w:type="spellStart"/>
            <w:r>
              <w:rPr>
                <w:color w:val="000000"/>
                <w:sz w:val="19"/>
              </w:rPr>
              <w:t>Buchung</w:t>
            </w:r>
            <w:proofErr w:type="spellEnd"/>
            <w:r>
              <w:rPr>
                <w:color w:val="000000"/>
                <w:sz w:val="19"/>
              </w:rPr>
              <w:t xml:space="preserve"> und </w:t>
            </w:r>
            <w:proofErr w:type="spellStart"/>
            <w:r>
              <w:rPr>
                <w:color w:val="000000"/>
                <w:sz w:val="19"/>
              </w:rPr>
              <w:t>Biletado</w:t>
            </w:r>
            <w:proofErr w:type="spellEnd"/>
          </w:p>
        </w:tc>
        <w:tc>
          <w:tcPr>
            <w:tcW w:w="2500" w:type="dxa"/>
            <w:tcMar>
              <w:top w:w="80" w:type="dxa"/>
              <w:left w:w="120" w:type="dxa"/>
              <w:bottom w:w="80" w:type="dxa"/>
              <w:right w:w="120" w:type="dxa"/>
            </w:tcMar>
            <w:vAlign w:val="center"/>
          </w:tcPr>
          <w:p w14:paraId="08E8E092" w14:textId="77777777" w:rsidR="00B177EC" w:rsidRDefault="00000000">
            <w:pPr>
              <w:spacing w:line="252" w:lineRule="auto"/>
            </w:pPr>
            <w:r>
              <w:rPr>
                <w:color w:val="000000"/>
                <w:sz w:val="19"/>
              </w:rPr>
              <w:t>Biletado / Booking</w:t>
            </w:r>
          </w:p>
        </w:tc>
        <w:tc>
          <w:tcPr>
            <w:tcW w:w="4960" w:type="dxa"/>
            <w:tcMar>
              <w:top w:w="80" w:type="dxa"/>
              <w:left w:w="120" w:type="dxa"/>
              <w:bottom w:w="80" w:type="dxa"/>
              <w:right w:w="120" w:type="dxa"/>
            </w:tcMar>
            <w:vAlign w:val="center"/>
          </w:tcPr>
          <w:p w14:paraId="68FBED52" w14:textId="77777777" w:rsidR="00B177EC" w:rsidRDefault="00000000">
            <w:pPr>
              <w:spacing w:line="252" w:lineRule="auto"/>
            </w:pPr>
            <w:r>
              <w:rPr>
                <w:color w:val="000000"/>
                <w:sz w:val="19"/>
              </w:rPr>
              <w:t>Buchungslogik und fachliche Daten verbleiben im angebundenen Fachsystem; Joomla kann Einbindung und Begleitinformationen steuern.</w:t>
            </w:r>
          </w:p>
        </w:tc>
      </w:tr>
      <w:tr w:rsidR="00B177EC" w14:paraId="258D2C31" w14:textId="77777777">
        <w:trPr>
          <w:cantSplit/>
        </w:trPr>
        <w:tc>
          <w:tcPr>
            <w:tcW w:w="1900" w:type="dxa"/>
            <w:tcMar>
              <w:top w:w="80" w:type="dxa"/>
              <w:left w:w="120" w:type="dxa"/>
              <w:bottom w:w="80" w:type="dxa"/>
              <w:right w:w="120" w:type="dxa"/>
            </w:tcMar>
            <w:vAlign w:val="center"/>
          </w:tcPr>
          <w:p w14:paraId="6F414702" w14:textId="77777777" w:rsidR="00B177EC" w:rsidRDefault="00000000">
            <w:pPr>
              <w:spacing w:line="252" w:lineRule="auto"/>
            </w:pPr>
            <w:r>
              <w:rPr>
                <w:color w:val="000000"/>
                <w:sz w:val="19"/>
              </w:rPr>
              <w:lastRenderedPageBreak/>
              <w:t>Buildplace</w:t>
            </w:r>
          </w:p>
        </w:tc>
        <w:tc>
          <w:tcPr>
            <w:tcW w:w="2500" w:type="dxa"/>
            <w:tcMar>
              <w:top w:w="80" w:type="dxa"/>
              <w:left w:w="120" w:type="dxa"/>
              <w:bottom w:w="80" w:type="dxa"/>
              <w:right w:w="120" w:type="dxa"/>
            </w:tcMar>
            <w:vAlign w:val="center"/>
          </w:tcPr>
          <w:p w14:paraId="364E0EB7" w14:textId="77777777" w:rsidR="00B177EC" w:rsidRDefault="00000000">
            <w:pPr>
              <w:spacing w:line="252" w:lineRule="auto"/>
            </w:pPr>
            <w:r>
              <w:rPr>
                <w:color w:val="000000"/>
                <w:sz w:val="19"/>
              </w:rPr>
              <w:t>Bestehende Integration</w:t>
            </w:r>
          </w:p>
        </w:tc>
        <w:tc>
          <w:tcPr>
            <w:tcW w:w="4960" w:type="dxa"/>
            <w:tcMar>
              <w:top w:w="80" w:type="dxa"/>
              <w:left w:w="120" w:type="dxa"/>
              <w:bottom w:w="80" w:type="dxa"/>
              <w:right w:w="120" w:type="dxa"/>
            </w:tcMar>
            <w:vAlign w:val="center"/>
          </w:tcPr>
          <w:p w14:paraId="6B97470A" w14:textId="77777777" w:rsidR="00B177EC" w:rsidRDefault="00000000">
            <w:pPr>
              <w:spacing w:line="252" w:lineRule="auto"/>
            </w:pPr>
            <w:r>
              <w:rPr>
                <w:color w:val="000000"/>
                <w:sz w:val="19"/>
              </w:rPr>
              <w:t>Bestand analysieren, Nutzungsfälle dokumentieren und Funktionalität erhalten oder abgestimmt weiterentwickeln.</w:t>
            </w:r>
          </w:p>
        </w:tc>
      </w:tr>
      <w:tr w:rsidR="00B177EC" w14:paraId="60926B90" w14:textId="77777777">
        <w:trPr>
          <w:cantSplit/>
        </w:trPr>
        <w:tc>
          <w:tcPr>
            <w:tcW w:w="1900" w:type="dxa"/>
            <w:tcMar>
              <w:top w:w="80" w:type="dxa"/>
              <w:left w:w="120" w:type="dxa"/>
              <w:bottom w:w="80" w:type="dxa"/>
              <w:right w:w="120" w:type="dxa"/>
            </w:tcMar>
            <w:vAlign w:val="center"/>
          </w:tcPr>
          <w:p w14:paraId="33E51A4F" w14:textId="392A81FB" w:rsidR="00B177EC" w:rsidRDefault="00EA0737">
            <w:pPr>
              <w:spacing w:line="252" w:lineRule="auto"/>
            </w:pPr>
            <w:r>
              <w:rPr>
                <w:color w:val="000000"/>
                <w:sz w:val="19"/>
              </w:rPr>
              <w:t xml:space="preserve">Header, </w:t>
            </w:r>
            <w:r w:rsidR="00000000">
              <w:rPr>
                <w:color w:val="000000"/>
                <w:sz w:val="19"/>
              </w:rPr>
              <w:t xml:space="preserve">Footer, Navigation, </w:t>
            </w:r>
            <w:proofErr w:type="spellStart"/>
            <w:r w:rsidR="00000000">
              <w:rPr>
                <w:color w:val="000000"/>
                <w:sz w:val="19"/>
              </w:rPr>
              <w:t>Informationsseiten</w:t>
            </w:r>
            <w:proofErr w:type="spellEnd"/>
          </w:p>
        </w:tc>
        <w:tc>
          <w:tcPr>
            <w:tcW w:w="2500" w:type="dxa"/>
            <w:tcMar>
              <w:top w:w="80" w:type="dxa"/>
              <w:left w:w="120" w:type="dxa"/>
              <w:bottom w:w="80" w:type="dxa"/>
              <w:right w:w="120" w:type="dxa"/>
            </w:tcMar>
            <w:vAlign w:val="center"/>
          </w:tcPr>
          <w:p w14:paraId="772F1F9D" w14:textId="3EFF384B" w:rsidR="00B177EC" w:rsidRDefault="00EA0737">
            <w:pPr>
              <w:spacing w:line="252" w:lineRule="auto"/>
            </w:pPr>
            <w:r>
              <w:rPr>
                <w:color w:val="000000"/>
                <w:sz w:val="19"/>
              </w:rPr>
              <w:t>Joomla</w:t>
            </w:r>
          </w:p>
        </w:tc>
        <w:tc>
          <w:tcPr>
            <w:tcW w:w="4960" w:type="dxa"/>
            <w:tcMar>
              <w:top w:w="80" w:type="dxa"/>
              <w:left w:w="120" w:type="dxa"/>
              <w:bottom w:w="80" w:type="dxa"/>
              <w:right w:w="120" w:type="dxa"/>
            </w:tcMar>
            <w:vAlign w:val="center"/>
          </w:tcPr>
          <w:p w14:paraId="65DCBED9" w14:textId="77777777" w:rsidR="00B177EC" w:rsidRDefault="00000000">
            <w:pPr>
              <w:spacing w:line="252" w:lineRule="auto"/>
            </w:pPr>
            <w:r>
              <w:rPr>
                <w:color w:val="000000"/>
                <w:sz w:val="19"/>
              </w:rPr>
              <w:t>Für Joomla-Verwaltung und Gestaltung vorsehen.</w:t>
            </w:r>
          </w:p>
        </w:tc>
      </w:tr>
    </w:tbl>
    <w:p w14:paraId="6C356042" w14:textId="77777777" w:rsidR="00B177EC" w:rsidRDefault="00B177EC">
      <w:pPr>
        <w:spacing w:after="40"/>
      </w:pPr>
    </w:p>
    <w:p w14:paraId="56BAA1DC" w14:textId="77777777" w:rsidR="00B177EC" w:rsidRDefault="00000000">
      <w:pPr>
        <w:spacing w:after="120" w:line="264" w:lineRule="auto"/>
      </w:pPr>
      <w:r>
        <w:rPr>
          <w:color w:val="000000"/>
        </w:rPr>
        <w:t>Zu Projektbeginn erstellt der Auftragnehmer eine Daten- und Verantwortlichkeitsmatrix. Sie benennt je Inhaltsbereich das führende System, lesende und schreibende Datenflüsse, zulässige redaktionelle Bearbeitung in Joomla, Schnittstellenvertrag, Fehler- und Fallback-Verhalten sowie die Migrationsstrategie.</w:t>
      </w:r>
    </w:p>
    <w:p w14:paraId="50E065B0" w14:textId="77777777" w:rsidR="00B177EC" w:rsidRDefault="00000000">
      <w:pPr>
        <w:keepNext/>
        <w:spacing w:before="320" w:after="160"/>
      </w:pPr>
      <w:r>
        <w:rPr>
          <w:b/>
          <w:color w:val="2E74B5"/>
          <w:sz w:val="32"/>
        </w:rPr>
        <w:t>5. Architektur- und Migrationskonzept</w:t>
      </w:r>
    </w:p>
    <w:p w14:paraId="4BA9F8F0" w14:textId="77777777" w:rsidR="00B177EC" w:rsidRDefault="00000000">
      <w:pPr>
        <w:spacing w:after="120" w:line="264" w:lineRule="auto"/>
      </w:pPr>
      <w:r>
        <w:rPr>
          <w:color w:val="000000"/>
        </w:rPr>
        <w:t>Vor Beginn der produktiven Umsetzung erstellt der Auftragnehmer mindestens zwei geeignete Architekturvarianten. Eine Variante muss eine maximale Wiederverwendung des bestehenden React-Frontends vorsehen.</w:t>
      </w:r>
    </w:p>
    <w:p w14:paraId="52BFED85" w14:textId="77777777" w:rsidR="00B177EC" w:rsidRDefault="00000000">
      <w:pPr>
        <w:spacing w:after="120" w:line="264" w:lineRule="auto"/>
      </w:pPr>
      <w:r>
        <w:rPr>
          <w:color w:val="000000"/>
        </w:rPr>
        <w:t>Für jede Variante sind Architekturdiagramm, Datenflüsse, Sicherheitsgrenzen, Rolle von Joomla, Frontend, Content Gateway, Datenbank und externen Fachsystemen, Wiederverwendungsgrad des Bestands, erforderliche API-Anpassungen, Migrationsphasen, Rückfallmöglichkeit, Betriebs- und Lizenzfolgen, Risiken und geschätzter Umsetzungsaufwand darzustellen.</w:t>
      </w:r>
    </w:p>
    <w:p w14:paraId="2807FB75" w14:textId="77777777" w:rsidR="00B177EC" w:rsidRDefault="00000000">
      <w:pPr>
        <w:spacing w:after="120" w:line="264" w:lineRule="auto"/>
      </w:pPr>
      <w:r>
        <w:rPr>
          <w:color w:val="000000"/>
        </w:rPr>
        <w:t>Der Auftragnehmer spricht eine begründete Empfehlung aus. Die Umsetzung der Zielarchitektur beginnt erst nach Freigabe durch den Auftraggeber.</w:t>
      </w:r>
    </w:p>
    <w:p w14:paraId="55467FCF" w14:textId="77777777" w:rsidR="00B177EC" w:rsidRDefault="00000000">
      <w:pPr>
        <w:keepNext/>
        <w:spacing w:before="320" w:after="160"/>
      </w:pPr>
      <w:r>
        <w:rPr>
          <w:b/>
          <w:color w:val="2E74B5"/>
          <w:sz w:val="32"/>
        </w:rPr>
        <w:t>6. Funktionale Anforderungen an die CMS-Lösung</w:t>
      </w:r>
    </w:p>
    <w:p w14:paraId="0CA20CE8" w14:textId="53DAD346" w:rsidR="00B177EC" w:rsidRDefault="00000000">
      <w:pPr>
        <w:spacing w:after="80" w:line="264" w:lineRule="auto"/>
      </w:pPr>
      <w:r>
        <w:rPr>
          <w:color w:val="000000"/>
        </w:rPr>
        <w:t xml:space="preserve">1. Pflege von Seiten, </w:t>
      </w:r>
      <w:proofErr w:type="spellStart"/>
      <w:r>
        <w:rPr>
          <w:color w:val="000000"/>
        </w:rPr>
        <w:t>Navigationen</w:t>
      </w:r>
      <w:proofErr w:type="spellEnd"/>
      <w:r>
        <w:rPr>
          <w:color w:val="000000"/>
        </w:rPr>
        <w:t xml:space="preserve">, Footer, </w:t>
      </w:r>
      <w:proofErr w:type="spellStart"/>
      <w:r>
        <w:rPr>
          <w:color w:val="000000"/>
        </w:rPr>
        <w:t>Teasern</w:t>
      </w:r>
      <w:proofErr w:type="spellEnd"/>
      <w:r>
        <w:rPr>
          <w:color w:val="000000"/>
        </w:rPr>
        <w:t xml:space="preserve">, </w:t>
      </w:r>
      <w:proofErr w:type="spellStart"/>
      <w:r>
        <w:rPr>
          <w:color w:val="000000"/>
        </w:rPr>
        <w:t>Texten</w:t>
      </w:r>
      <w:proofErr w:type="spellEnd"/>
      <w:r>
        <w:rPr>
          <w:color w:val="000000"/>
        </w:rPr>
        <w:t>, Medien und SEO-</w:t>
      </w:r>
      <w:proofErr w:type="spellStart"/>
      <w:r>
        <w:rPr>
          <w:color w:val="000000"/>
        </w:rPr>
        <w:t>Metadaten</w:t>
      </w:r>
      <w:proofErr w:type="spellEnd"/>
      <w:r>
        <w:rPr>
          <w:color w:val="000000"/>
        </w:rPr>
        <w:t>.</w:t>
      </w:r>
    </w:p>
    <w:p w14:paraId="3FD5D88E" w14:textId="77777777" w:rsidR="00B177EC" w:rsidRDefault="00000000">
      <w:pPr>
        <w:spacing w:after="80" w:line="264" w:lineRule="auto"/>
      </w:pPr>
      <w:r>
        <w:rPr>
          <w:color w:val="000000"/>
        </w:rPr>
        <w:t>2. Gestaltung auf Basis definierter, wiederverwendbarer und kontrollierter Inhaltsbausteine.</w:t>
      </w:r>
    </w:p>
    <w:p w14:paraId="09E182E0" w14:textId="77777777" w:rsidR="00B177EC" w:rsidRDefault="00000000">
      <w:pPr>
        <w:spacing w:after="80" w:line="264" w:lineRule="auto"/>
      </w:pPr>
      <w:r>
        <w:rPr>
          <w:color w:val="000000"/>
        </w:rPr>
        <w:t>3. Vorschau vor Veröffentlichung sowie Entwurfs-, Prüf- und Veröffentlichungsprozesse.</w:t>
      </w:r>
    </w:p>
    <w:p w14:paraId="2B668333" w14:textId="77777777" w:rsidR="00B177EC" w:rsidRDefault="00000000">
      <w:pPr>
        <w:spacing w:after="80" w:line="264" w:lineRule="auto"/>
      </w:pPr>
      <w:r>
        <w:rPr>
          <w:color w:val="000000"/>
        </w:rPr>
        <w:t>4. Rollenbasierte Berechtigungen mindestens für Administration, Redaktion und Freigabe.</w:t>
      </w:r>
    </w:p>
    <w:p w14:paraId="16C3FB5E" w14:textId="77777777" w:rsidR="00B177EC" w:rsidRDefault="00000000">
      <w:pPr>
        <w:spacing w:after="80" w:line="264" w:lineRule="auto"/>
      </w:pPr>
      <w:r>
        <w:rPr>
          <w:color w:val="000000"/>
        </w:rPr>
        <w:t>5. Mehrsprachigkeit mindestens für die im Cockpit vorhandenen Sprachen.</w:t>
      </w:r>
    </w:p>
    <w:p w14:paraId="778F15B1" w14:textId="77777777" w:rsidR="00B177EC" w:rsidRDefault="00000000">
      <w:pPr>
        <w:spacing w:after="80" w:line="264" w:lineRule="auto"/>
      </w:pPr>
      <w:r>
        <w:rPr>
          <w:color w:val="000000"/>
        </w:rPr>
        <w:t>6. Pflege von Alternativtexten, Bildrechten und weiteren barrierefreiheitsrelevanten Medieninformationen.</w:t>
      </w:r>
    </w:p>
    <w:p w14:paraId="4740319E" w14:textId="77777777" w:rsidR="00B177EC" w:rsidRDefault="00000000">
      <w:pPr>
        <w:spacing w:after="80" w:line="264" w:lineRule="auto"/>
      </w:pPr>
      <w:r>
        <w:rPr>
          <w:color w:val="000000"/>
        </w:rPr>
        <w:t>7. Nachvollziehbarkeit redaktioneller Änderungen.</w:t>
      </w:r>
    </w:p>
    <w:p w14:paraId="04BC6014" w14:textId="77777777" w:rsidR="00B177EC" w:rsidRDefault="00000000">
      <w:pPr>
        <w:spacing w:after="80" w:line="264" w:lineRule="auto"/>
      </w:pPr>
      <w:r>
        <w:rPr>
          <w:color w:val="000000"/>
        </w:rPr>
        <w:t>8. Technische oder redaktionelle Kennzeichnung der Inhalte, die automatisiert aus Fachsystemen übernommen werden.</w:t>
      </w:r>
    </w:p>
    <w:p w14:paraId="49BEA566" w14:textId="77777777" w:rsidR="00B177EC" w:rsidRDefault="00000000">
      <w:pPr>
        <w:keepNext/>
        <w:spacing w:before="320" w:after="160"/>
      </w:pPr>
      <w:r>
        <w:rPr>
          <w:b/>
          <w:color w:val="2E74B5"/>
          <w:sz w:val="32"/>
        </w:rPr>
        <w:t>7. Technische Qualitätsanforderungen</w:t>
      </w:r>
    </w:p>
    <w:p w14:paraId="31DC147F" w14:textId="77777777" w:rsidR="00B177EC" w:rsidRDefault="00000000">
      <w:pPr>
        <w:spacing w:after="120" w:line="264" w:lineRule="auto"/>
      </w:pPr>
      <w:r>
        <w:rPr>
          <w:color w:val="000000"/>
        </w:rPr>
        <w:t xml:space="preserve">Der Auftragnehmer stellt aktuelle und unterstützte Joomla- und PHP-Versionen, einen dokumentierten Update-, Backup-, Wiederherstellungs- und Rollback-Prozess, eine containerfähige oder gleichwertig </w:t>
      </w:r>
      <w:r>
        <w:rPr>
          <w:color w:val="000000"/>
        </w:rPr>
        <w:lastRenderedPageBreak/>
        <w:t>betreibbare Bereitstellung sowie eine klare Trennung von Entwicklungs-, Test- und Produktionsumgebung sicher.</w:t>
      </w:r>
    </w:p>
    <w:p w14:paraId="630B08D4" w14:textId="77777777" w:rsidR="00B177EC" w:rsidRDefault="00000000">
      <w:pPr>
        <w:spacing w:after="120" w:line="264" w:lineRule="auto"/>
      </w:pPr>
      <w:r>
        <w:rPr>
          <w:color w:val="000000"/>
        </w:rPr>
        <w:t>Für externe Quellen ist ein definiertes und getestetes Störungsverhalten umzusetzen. Fehler einzelner Datensätze dürfen nicht zum Ausfall ganzer Seiten führen, soweit eine fachlich vertretbare Teildarstellung möglich ist. Bestehende Fallbacks sind zu erhalten oder fachlich gleichwertig umzusetzen. Strukturierte Protokollierung, Health- und Readiness-Prüfungen sowie ein datenschutzkonformes Consent-Management sind vorzusehen.</w:t>
      </w:r>
    </w:p>
    <w:p w14:paraId="395E8BCD" w14:textId="77777777" w:rsidR="00B177EC" w:rsidRDefault="00000000">
      <w:pPr>
        <w:spacing w:after="120" w:line="264" w:lineRule="auto"/>
      </w:pPr>
      <w:r>
        <w:rPr>
          <w:color w:val="000000"/>
        </w:rPr>
        <w:t>Die durch den Auftragnehmer bearbeiteten öffentlichen Oberflächen müssen die Anforderungen der BITV 2.0 beziehungsweise WCAG 2.1 AA erfüllen.</w:t>
      </w:r>
    </w:p>
    <w:p w14:paraId="7B2608B1" w14:textId="77777777" w:rsidR="00B177EC" w:rsidRDefault="00000000">
      <w:pPr>
        <w:keepNext/>
        <w:spacing w:before="320" w:after="160"/>
      </w:pPr>
      <w:r>
        <w:rPr>
          <w:b/>
          <w:color w:val="2E74B5"/>
          <w:sz w:val="32"/>
        </w:rPr>
        <w:t>8. Begleitung durch den bisherigen Entwickler</w:t>
      </w:r>
    </w:p>
    <w:p w14:paraId="7D286A9A" w14:textId="77777777" w:rsidR="00B177EC" w:rsidRDefault="00000000">
      <w:pPr>
        <w:spacing w:after="120" w:line="264" w:lineRule="auto"/>
      </w:pPr>
      <w:r>
        <w:rPr>
          <w:color w:val="000000"/>
        </w:rPr>
        <w:t>Der bisherige Entwickler des Guben Cockpits kann das Projekt fachlich und technisch begleiten. Er kann insbesondere eine Einführung in Architektur, Repository und Betriebsabläufe geben, vorhandene Datenmodelle, Frontend-Komponenten und API-Verträge erläutern, die Integrationen zu Mainserver / Smart Village, Biletado und Buildplace einordnen sowie Zielarchitektur, Migrationskonzept und kritische Schnittstellenänderungen reviewen.</w:t>
      </w:r>
    </w:p>
    <w:p w14:paraId="128EA357" w14:textId="77777777" w:rsidR="00B177EC" w:rsidRDefault="00000000">
      <w:pPr>
        <w:spacing w:after="120" w:line="264" w:lineRule="auto"/>
      </w:pPr>
      <w:r>
        <w:rPr>
          <w:color w:val="000000"/>
        </w:rPr>
        <w:t>Der Auftragnehmer bleibt uneingeschränkt verantwortlich für Analyse, Lösungsdesign, Implementierung, Qualitätssicherung, Dokumentation und die Erreichung der vereinbarten Abnahmekriterien. Die Begleitung durch den bisherigen Entwickler ersetzt keine eigene technische Prüfung oder Leistungspflicht des Auftragnehmers.</w:t>
      </w:r>
    </w:p>
    <w:p w14:paraId="051CEACB" w14:textId="77777777" w:rsidR="00B177EC" w:rsidRDefault="00000000">
      <w:pPr>
        <w:keepNext/>
        <w:spacing w:before="320" w:after="160"/>
      </w:pPr>
      <w:r>
        <w:rPr>
          <w:b/>
          <w:color w:val="2E74B5"/>
          <w:sz w:val="32"/>
        </w:rPr>
        <w:t>9. Liefergegenstände und Abnahme</w:t>
      </w:r>
    </w:p>
    <w:tbl>
      <w:tblPr>
        <w:tblStyle w:val="Tabellenraster"/>
        <w:tblW w:w="9360" w:type="dxa"/>
        <w:tblInd w:w="120" w:type="dxa"/>
        <w:tblLayout w:type="fixed"/>
        <w:tblLook w:val="04A0" w:firstRow="1" w:lastRow="0" w:firstColumn="1" w:lastColumn="0" w:noHBand="0" w:noVBand="1"/>
      </w:tblPr>
      <w:tblGrid>
        <w:gridCol w:w="600"/>
        <w:gridCol w:w="2700"/>
        <w:gridCol w:w="6060"/>
      </w:tblGrid>
      <w:tr w:rsidR="00B177EC" w14:paraId="4263B516" w14:textId="77777777">
        <w:trPr>
          <w:cantSplit/>
        </w:trPr>
        <w:tc>
          <w:tcPr>
            <w:tcW w:w="600" w:type="dxa"/>
            <w:shd w:val="clear" w:color="auto" w:fill="F2F4F7"/>
            <w:tcMar>
              <w:top w:w="80" w:type="dxa"/>
              <w:left w:w="120" w:type="dxa"/>
              <w:bottom w:w="80" w:type="dxa"/>
              <w:right w:w="120" w:type="dxa"/>
            </w:tcMar>
            <w:vAlign w:val="center"/>
          </w:tcPr>
          <w:p w14:paraId="41682B56" w14:textId="77777777" w:rsidR="00B177EC" w:rsidRDefault="00000000">
            <w:pPr>
              <w:spacing w:line="252" w:lineRule="auto"/>
            </w:pPr>
            <w:r>
              <w:rPr>
                <w:b/>
                <w:color w:val="0B2545"/>
                <w:sz w:val="19"/>
              </w:rPr>
              <w:t>Nr.</w:t>
            </w:r>
          </w:p>
        </w:tc>
        <w:tc>
          <w:tcPr>
            <w:tcW w:w="2700" w:type="dxa"/>
            <w:shd w:val="clear" w:color="auto" w:fill="F2F4F7"/>
            <w:tcMar>
              <w:top w:w="80" w:type="dxa"/>
              <w:left w:w="120" w:type="dxa"/>
              <w:bottom w:w="80" w:type="dxa"/>
              <w:right w:w="120" w:type="dxa"/>
            </w:tcMar>
            <w:vAlign w:val="center"/>
          </w:tcPr>
          <w:p w14:paraId="545367EB" w14:textId="77777777" w:rsidR="00B177EC" w:rsidRDefault="00000000">
            <w:pPr>
              <w:spacing w:line="252" w:lineRule="auto"/>
            </w:pPr>
            <w:r>
              <w:rPr>
                <w:b/>
                <w:color w:val="0B2545"/>
                <w:sz w:val="19"/>
              </w:rPr>
              <w:t>Liefergegenstand</w:t>
            </w:r>
          </w:p>
        </w:tc>
        <w:tc>
          <w:tcPr>
            <w:tcW w:w="6060" w:type="dxa"/>
            <w:shd w:val="clear" w:color="auto" w:fill="F2F4F7"/>
            <w:tcMar>
              <w:top w:w="80" w:type="dxa"/>
              <w:left w:w="120" w:type="dxa"/>
              <w:bottom w:w="80" w:type="dxa"/>
              <w:right w:w="120" w:type="dxa"/>
            </w:tcMar>
            <w:vAlign w:val="center"/>
          </w:tcPr>
          <w:p w14:paraId="1EC68EDF" w14:textId="77777777" w:rsidR="00B177EC" w:rsidRDefault="00000000">
            <w:pPr>
              <w:spacing w:line="252" w:lineRule="auto"/>
            </w:pPr>
            <w:r>
              <w:rPr>
                <w:b/>
                <w:color w:val="0B2545"/>
                <w:sz w:val="19"/>
              </w:rPr>
              <w:t>Mindestinhalt</w:t>
            </w:r>
          </w:p>
        </w:tc>
      </w:tr>
      <w:tr w:rsidR="00B177EC" w14:paraId="2C7FAEB4" w14:textId="77777777">
        <w:trPr>
          <w:cantSplit/>
        </w:trPr>
        <w:tc>
          <w:tcPr>
            <w:tcW w:w="600" w:type="dxa"/>
            <w:tcMar>
              <w:top w:w="80" w:type="dxa"/>
              <w:left w:w="120" w:type="dxa"/>
              <w:bottom w:w="80" w:type="dxa"/>
              <w:right w:w="120" w:type="dxa"/>
            </w:tcMar>
            <w:vAlign w:val="center"/>
          </w:tcPr>
          <w:p w14:paraId="0626F00D" w14:textId="77777777" w:rsidR="00B177EC" w:rsidRDefault="00000000">
            <w:pPr>
              <w:spacing w:line="252" w:lineRule="auto"/>
            </w:pPr>
            <w:r>
              <w:rPr>
                <w:color w:val="000000"/>
                <w:sz w:val="19"/>
              </w:rPr>
              <w:t>1</w:t>
            </w:r>
          </w:p>
        </w:tc>
        <w:tc>
          <w:tcPr>
            <w:tcW w:w="2700" w:type="dxa"/>
            <w:tcMar>
              <w:top w:w="80" w:type="dxa"/>
              <w:left w:w="120" w:type="dxa"/>
              <w:bottom w:w="80" w:type="dxa"/>
              <w:right w:w="120" w:type="dxa"/>
            </w:tcMar>
            <w:vAlign w:val="center"/>
          </w:tcPr>
          <w:p w14:paraId="1ED3DB25" w14:textId="77777777" w:rsidR="00B177EC" w:rsidRDefault="00000000">
            <w:pPr>
              <w:spacing w:line="252" w:lineRule="auto"/>
            </w:pPr>
            <w:r>
              <w:rPr>
                <w:color w:val="000000"/>
                <w:sz w:val="19"/>
              </w:rPr>
              <w:t>Bestands-, Schnittstellen- und Reuse-Analyse</w:t>
            </w:r>
          </w:p>
        </w:tc>
        <w:tc>
          <w:tcPr>
            <w:tcW w:w="6060" w:type="dxa"/>
            <w:tcMar>
              <w:top w:w="80" w:type="dxa"/>
              <w:left w:w="120" w:type="dxa"/>
              <w:bottom w:w="80" w:type="dxa"/>
              <w:right w:w="120" w:type="dxa"/>
            </w:tcMar>
            <w:vAlign w:val="center"/>
          </w:tcPr>
          <w:p w14:paraId="408AEBAA" w14:textId="77777777" w:rsidR="00B177EC" w:rsidRDefault="00000000">
            <w:pPr>
              <w:spacing w:line="252" w:lineRule="auto"/>
            </w:pPr>
            <w:r>
              <w:rPr>
                <w:color w:val="000000"/>
                <w:sz w:val="19"/>
              </w:rPr>
              <w:t>Technischer Bestand, Integrationen, Risiken und nachvollziehbare Reuse-Matrix.</w:t>
            </w:r>
          </w:p>
        </w:tc>
      </w:tr>
      <w:tr w:rsidR="00B177EC" w14:paraId="7464ED6B" w14:textId="77777777">
        <w:trPr>
          <w:cantSplit/>
        </w:trPr>
        <w:tc>
          <w:tcPr>
            <w:tcW w:w="600" w:type="dxa"/>
            <w:tcMar>
              <w:top w:w="80" w:type="dxa"/>
              <w:left w:w="120" w:type="dxa"/>
              <w:bottom w:w="80" w:type="dxa"/>
              <w:right w:w="120" w:type="dxa"/>
            </w:tcMar>
            <w:vAlign w:val="center"/>
          </w:tcPr>
          <w:p w14:paraId="395DEFFB" w14:textId="77777777" w:rsidR="00B177EC" w:rsidRDefault="00000000">
            <w:pPr>
              <w:spacing w:line="252" w:lineRule="auto"/>
            </w:pPr>
            <w:r>
              <w:rPr>
                <w:color w:val="000000"/>
                <w:sz w:val="19"/>
              </w:rPr>
              <w:t>2</w:t>
            </w:r>
          </w:p>
        </w:tc>
        <w:tc>
          <w:tcPr>
            <w:tcW w:w="2700" w:type="dxa"/>
            <w:tcMar>
              <w:top w:w="80" w:type="dxa"/>
              <w:left w:w="120" w:type="dxa"/>
              <w:bottom w:w="80" w:type="dxa"/>
              <w:right w:w="120" w:type="dxa"/>
            </w:tcMar>
            <w:vAlign w:val="center"/>
          </w:tcPr>
          <w:p w14:paraId="63CC39B0" w14:textId="77777777" w:rsidR="00B177EC" w:rsidRDefault="00000000">
            <w:pPr>
              <w:spacing w:line="252" w:lineRule="auto"/>
            </w:pPr>
            <w:r>
              <w:rPr>
                <w:color w:val="000000"/>
                <w:sz w:val="19"/>
              </w:rPr>
              <w:t>Daten- und Verantwortlichkeitsmatrix</w:t>
            </w:r>
          </w:p>
        </w:tc>
        <w:tc>
          <w:tcPr>
            <w:tcW w:w="6060" w:type="dxa"/>
            <w:tcMar>
              <w:top w:w="80" w:type="dxa"/>
              <w:left w:w="120" w:type="dxa"/>
              <w:bottom w:w="80" w:type="dxa"/>
              <w:right w:w="120" w:type="dxa"/>
            </w:tcMar>
            <w:vAlign w:val="center"/>
          </w:tcPr>
          <w:p w14:paraId="2CCDF60C" w14:textId="77777777" w:rsidR="00B177EC" w:rsidRDefault="00000000">
            <w:pPr>
              <w:spacing w:line="252" w:lineRule="auto"/>
            </w:pPr>
            <w:r>
              <w:rPr>
                <w:color w:val="000000"/>
                <w:sz w:val="19"/>
              </w:rPr>
              <w:t>Führende Systeme, Datenflüsse, Joomla-Bearbeitung, Verträge, Fallbacks und Migration.</w:t>
            </w:r>
          </w:p>
        </w:tc>
      </w:tr>
      <w:tr w:rsidR="00B177EC" w14:paraId="545D8129" w14:textId="77777777">
        <w:trPr>
          <w:cantSplit/>
        </w:trPr>
        <w:tc>
          <w:tcPr>
            <w:tcW w:w="600" w:type="dxa"/>
            <w:tcMar>
              <w:top w:w="80" w:type="dxa"/>
              <w:left w:w="120" w:type="dxa"/>
              <w:bottom w:w="80" w:type="dxa"/>
              <w:right w:w="120" w:type="dxa"/>
            </w:tcMar>
            <w:vAlign w:val="center"/>
          </w:tcPr>
          <w:p w14:paraId="5EF51183" w14:textId="77777777" w:rsidR="00B177EC" w:rsidRDefault="00000000">
            <w:pPr>
              <w:spacing w:line="252" w:lineRule="auto"/>
            </w:pPr>
            <w:r>
              <w:rPr>
                <w:color w:val="000000"/>
                <w:sz w:val="19"/>
              </w:rPr>
              <w:t>3</w:t>
            </w:r>
          </w:p>
        </w:tc>
        <w:tc>
          <w:tcPr>
            <w:tcW w:w="2700" w:type="dxa"/>
            <w:tcMar>
              <w:top w:w="80" w:type="dxa"/>
              <w:left w:w="120" w:type="dxa"/>
              <w:bottom w:w="80" w:type="dxa"/>
              <w:right w:w="120" w:type="dxa"/>
            </w:tcMar>
            <w:vAlign w:val="center"/>
          </w:tcPr>
          <w:p w14:paraId="7AADC127" w14:textId="77777777" w:rsidR="00B177EC" w:rsidRDefault="00000000">
            <w:pPr>
              <w:spacing w:line="252" w:lineRule="auto"/>
            </w:pPr>
            <w:r>
              <w:rPr>
                <w:color w:val="000000"/>
                <w:sz w:val="19"/>
              </w:rPr>
              <w:t>Architekturvarianten</w:t>
            </w:r>
          </w:p>
        </w:tc>
        <w:tc>
          <w:tcPr>
            <w:tcW w:w="6060" w:type="dxa"/>
            <w:tcMar>
              <w:top w:w="80" w:type="dxa"/>
              <w:left w:w="120" w:type="dxa"/>
              <w:bottom w:w="80" w:type="dxa"/>
              <w:right w:w="120" w:type="dxa"/>
            </w:tcMar>
            <w:vAlign w:val="center"/>
          </w:tcPr>
          <w:p w14:paraId="76D7EAF4" w14:textId="77777777" w:rsidR="00B177EC" w:rsidRDefault="00000000">
            <w:pPr>
              <w:spacing w:line="252" w:lineRule="auto"/>
            </w:pPr>
            <w:r>
              <w:rPr>
                <w:color w:val="000000"/>
                <w:sz w:val="19"/>
              </w:rPr>
              <w:t>Mindestens zwei Varianten inklusive Empfehlung und maximaler Frontend-Wiederverwendungsvariante.</w:t>
            </w:r>
          </w:p>
        </w:tc>
      </w:tr>
      <w:tr w:rsidR="00B177EC" w14:paraId="14D3DE2A" w14:textId="77777777">
        <w:trPr>
          <w:cantSplit/>
        </w:trPr>
        <w:tc>
          <w:tcPr>
            <w:tcW w:w="600" w:type="dxa"/>
            <w:tcMar>
              <w:top w:w="80" w:type="dxa"/>
              <w:left w:w="120" w:type="dxa"/>
              <w:bottom w:w="80" w:type="dxa"/>
              <w:right w:w="120" w:type="dxa"/>
            </w:tcMar>
            <w:vAlign w:val="center"/>
          </w:tcPr>
          <w:p w14:paraId="2230D8BD" w14:textId="77777777" w:rsidR="00B177EC" w:rsidRDefault="00000000">
            <w:pPr>
              <w:spacing w:line="252" w:lineRule="auto"/>
            </w:pPr>
            <w:r>
              <w:rPr>
                <w:color w:val="000000"/>
                <w:sz w:val="19"/>
              </w:rPr>
              <w:t>4</w:t>
            </w:r>
          </w:p>
        </w:tc>
        <w:tc>
          <w:tcPr>
            <w:tcW w:w="2700" w:type="dxa"/>
            <w:tcMar>
              <w:top w:w="80" w:type="dxa"/>
              <w:left w:w="120" w:type="dxa"/>
              <w:bottom w:w="80" w:type="dxa"/>
              <w:right w:w="120" w:type="dxa"/>
            </w:tcMar>
            <w:vAlign w:val="center"/>
          </w:tcPr>
          <w:p w14:paraId="46F79224" w14:textId="77777777" w:rsidR="00B177EC" w:rsidRDefault="00000000">
            <w:pPr>
              <w:spacing w:line="252" w:lineRule="auto"/>
            </w:pPr>
            <w:r>
              <w:rPr>
                <w:color w:val="000000"/>
                <w:sz w:val="19"/>
              </w:rPr>
              <w:t>Ziel- und Migrationskonzept</w:t>
            </w:r>
          </w:p>
        </w:tc>
        <w:tc>
          <w:tcPr>
            <w:tcW w:w="6060" w:type="dxa"/>
            <w:tcMar>
              <w:top w:w="80" w:type="dxa"/>
              <w:left w:w="120" w:type="dxa"/>
              <w:bottom w:w="80" w:type="dxa"/>
              <w:right w:w="120" w:type="dxa"/>
            </w:tcMar>
            <w:vAlign w:val="center"/>
          </w:tcPr>
          <w:p w14:paraId="22AE53DC" w14:textId="77777777" w:rsidR="00B177EC" w:rsidRDefault="00000000">
            <w:pPr>
              <w:spacing w:line="252" w:lineRule="auto"/>
            </w:pPr>
            <w:r>
              <w:rPr>
                <w:color w:val="000000"/>
                <w:sz w:val="19"/>
              </w:rPr>
              <w:t>Freigegebene Architektur, schrittweise Migration, Rückfall und Betriebsmodell.</w:t>
            </w:r>
          </w:p>
        </w:tc>
      </w:tr>
      <w:tr w:rsidR="00B177EC" w14:paraId="7B4E32E6" w14:textId="77777777">
        <w:trPr>
          <w:cantSplit/>
        </w:trPr>
        <w:tc>
          <w:tcPr>
            <w:tcW w:w="600" w:type="dxa"/>
            <w:tcMar>
              <w:top w:w="80" w:type="dxa"/>
              <w:left w:w="120" w:type="dxa"/>
              <w:bottom w:w="80" w:type="dxa"/>
              <w:right w:w="120" w:type="dxa"/>
            </w:tcMar>
            <w:vAlign w:val="center"/>
          </w:tcPr>
          <w:p w14:paraId="1EFEB06D" w14:textId="77777777" w:rsidR="00B177EC" w:rsidRDefault="00000000">
            <w:pPr>
              <w:spacing w:line="252" w:lineRule="auto"/>
            </w:pPr>
            <w:r>
              <w:rPr>
                <w:color w:val="000000"/>
                <w:sz w:val="19"/>
              </w:rPr>
              <w:t>5</w:t>
            </w:r>
          </w:p>
        </w:tc>
        <w:tc>
          <w:tcPr>
            <w:tcW w:w="2700" w:type="dxa"/>
            <w:tcMar>
              <w:top w:w="80" w:type="dxa"/>
              <w:left w:w="120" w:type="dxa"/>
              <w:bottom w:w="80" w:type="dxa"/>
              <w:right w:w="120" w:type="dxa"/>
            </w:tcMar>
            <w:vAlign w:val="center"/>
          </w:tcPr>
          <w:p w14:paraId="2BC2FDCC" w14:textId="77777777" w:rsidR="00B177EC" w:rsidRDefault="00000000">
            <w:pPr>
              <w:spacing w:line="252" w:lineRule="auto"/>
            </w:pPr>
            <w:r>
              <w:rPr>
                <w:color w:val="000000"/>
                <w:sz w:val="19"/>
              </w:rPr>
              <w:t>Produktionsreife Umsetzung</w:t>
            </w:r>
          </w:p>
        </w:tc>
        <w:tc>
          <w:tcPr>
            <w:tcW w:w="6060" w:type="dxa"/>
            <w:tcMar>
              <w:top w:w="80" w:type="dxa"/>
              <w:left w:w="120" w:type="dxa"/>
              <w:bottom w:w="80" w:type="dxa"/>
              <w:right w:w="120" w:type="dxa"/>
            </w:tcMar>
            <w:vAlign w:val="center"/>
          </w:tcPr>
          <w:p w14:paraId="728F376D" w14:textId="77777777" w:rsidR="00B177EC" w:rsidRDefault="00000000">
            <w:pPr>
              <w:spacing w:line="252" w:lineRule="auto"/>
            </w:pPr>
            <w:r>
              <w:rPr>
                <w:color w:val="000000"/>
                <w:sz w:val="19"/>
              </w:rPr>
              <w:t>Joomla-Lösung einschließlich vereinbarter Integrationen und Frontend-Anpassungen.</w:t>
            </w:r>
          </w:p>
        </w:tc>
      </w:tr>
      <w:tr w:rsidR="00B177EC" w14:paraId="1F7D95BA" w14:textId="77777777">
        <w:trPr>
          <w:cantSplit/>
        </w:trPr>
        <w:tc>
          <w:tcPr>
            <w:tcW w:w="600" w:type="dxa"/>
            <w:tcMar>
              <w:top w:w="80" w:type="dxa"/>
              <w:left w:w="120" w:type="dxa"/>
              <w:bottom w:w="80" w:type="dxa"/>
              <w:right w:w="120" w:type="dxa"/>
            </w:tcMar>
            <w:vAlign w:val="center"/>
          </w:tcPr>
          <w:p w14:paraId="0203ADC0" w14:textId="77777777" w:rsidR="00B177EC" w:rsidRDefault="00000000">
            <w:pPr>
              <w:spacing w:line="252" w:lineRule="auto"/>
            </w:pPr>
            <w:r>
              <w:rPr>
                <w:color w:val="000000"/>
                <w:sz w:val="19"/>
              </w:rPr>
              <w:t>6</w:t>
            </w:r>
          </w:p>
        </w:tc>
        <w:tc>
          <w:tcPr>
            <w:tcW w:w="2700" w:type="dxa"/>
            <w:tcMar>
              <w:top w:w="80" w:type="dxa"/>
              <w:left w:w="120" w:type="dxa"/>
              <w:bottom w:w="80" w:type="dxa"/>
              <w:right w:w="120" w:type="dxa"/>
            </w:tcMar>
            <w:vAlign w:val="center"/>
          </w:tcPr>
          <w:p w14:paraId="622D4C88" w14:textId="77777777" w:rsidR="00B177EC" w:rsidRDefault="00000000">
            <w:pPr>
              <w:spacing w:line="252" w:lineRule="auto"/>
            </w:pPr>
            <w:r>
              <w:rPr>
                <w:color w:val="000000"/>
                <w:sz w:val="19"/>
              </w:rPr>
              <w:t>Qualitätssicherung</w:t>
            </w:r>
          </w:p>
        </w:tc>
        <w:tc>
          <w:tcPr>
            <w:tcW w:w="6060" w:type="dxa"/>
            <w:tcMar>
              <w:top w:w="80" w:type="dxa"/>
              <w:left w:w="120" w:type="dxa"/>
              <w:bottom w:w="80" w:type="dxa"/>
              <w:right w:w="120" w:type="dxa"/>
            </w:tcMar>
            <w:vAlign w:val="center"/>
          </w:tcPr>
          <w:p w14:paraId="7EDDD692" w14:textId="77777777" w:rsidR="00B177EC" w:rsidRDefault="00000000">
            <w:pPr>
              <w:spacing w:line="252" w:lineRule="auto"/>
            </w:pPr>
            <w:r>
              <w:rPr>
                <w:color w:val="000000"/>
                <w:sz w:val="19"/>
              </w:rPr>
              <w:t>Test- und Abnahmeprotokolle für Redaktion, Schnittstellen, Fehlerfälle, Mehrsprachigkeit und Barrierefreiheit.</w:t>
            </w:r>
          </w:p>
        </w:tc>
      </w:tr>
      <w:tr w:rsidR="00B177EC" w14:paraId="6DEA6A73" w14:textId="77777777">
        <w:trPr>
          <w:cantSplit/>
        </w:trPr>
        <w:tc>
          <w:tcPr>
            <w:tcW w:w="600" w:type="dxa"/>
            <w:tcMar>
              <w:top w:w="80" w:type="dxa"/>
              <w:left w:w="120" w:type="dxa"/>
              <w:bottom w:w="80" w:type="dxa"/>
              <w:right w:w="120" w:type="dxa"/>
            </w:tcMar>
            <w:vAlign w:val="center"/>
          </w:tcPr>
          <w:p w14:paraId="2FE5CF9F" w14:textId="77777777" w:rsidR="00B177EC" w:rsidRDefault="00000000">
            <w:pPr>
              <w:spacing w:line="252" w:lineRule="auto"/>
            </w:pPr>
            <w:r>
              <w:rPr>
                <w:color w:val="000000"/>
                <w:sz w:val="19"/>
              </w:rPr>
              <w:t>7</w:t>
            </w:r>
          </w:p>
        </w:tc>
        <w:tc>
          <w:tcPr>
            <w:tcW w:w="2700" w:type="dxa"/>
            <w:tcMar>
              <w:top w:w="80" w:type="dxa"/>
              <w:left w:w="120" w:type="dxa"/>
              <w:bottom w:w="80" w:type="dxa"/>
              <w:right w:w="120" w:type="dxa"/>
            </w:tcMar>
            <w:vAlign w:val="center"/>
          </w:tcPr>
          <w:p w14:paraId="1E5AD271" w14:textId="77777777" w:rsidR="00B177EC" w:rsidRDefault="00000000">
            <w:pPr>
              <w:spacing w:line="252" w:lineRule="auto"/>
            </w:pPr>
            <w:r>
              <w:rPr>
                <w:color w:val="000000"/>
                <w:sz w:val="19"/>
              </w:rPr>
              <w:t>Dokumentation und Übergabe</w:t>
            </w:r>
          </w:p>
        </w:tc>
        <w:tc>
          <w:tcPr>
            <w:tcW w:w="6060" w:type="dxa"/>
            <w:tcMar>
              <w:top w:w="80" w:type="dxa"/>
              <w:left w:w="120" w:type="dxa"/>
              <w:bottom w:w="80" w:type="dxa"/>
              <w:right w:w="120" w:type="dxa"/>
            </w:tcMar>
            <w:vAlign w:val="center"/>
          </w:tcPr>
          <w:p w14:paraId="1D47FE10" w14:textId="77777777" w:rsidR="00B177EC" w:rsidRDefault="00000000">
            <w:pPr>
              <w:spacing w:line="252" w:lineRule="auto"/>
            </w:pPr>
            <w:r>
              <w:rPr>
                <w:color w:val="000000"/>
                <w:sz w:val="19"/>
              </w:rPr>
              <w:t>Redaktions-, Betriebs- und technische Dokumentation; Quellcode, Konfigurationen, Erweiterungen und Lizenzübersicht.</w:t>
            </w:r>
          </w:p>
        </w:tc>
      </w:tr>
    </w:tbl>
    <w:p w14:paraId="5502B849" w14:textId="77777777" w:rsidR="00B177EC" w:rsidRDefault="00B177EC">
      <w:pPr>
        <w:spacing w:after="40"/>
      </w:pPr>
    </w:p>
    <w:p w14:paraId="6464A1C2" w14:textId="77777777" w:rsidR="00B177EC" w:rsidRDefault="00000000">
      <w:pPr>
        <w:spacing w:after="120" w:line="264" w:lineRule="auto"/>
      </w:pPr>
      <w:r>
        <w:rPr>
          <w:color w:val="000000"/>
        </w:rPr>
        <w:lastRenderedPageBreak/>
        <w:t>Die Abnahme setzt voraus, dass die vereinbarten Cockpit-Funktionen und externen Integrationen nachweislich funktionieren, Redaktion ohne Entwicklerzugriff möglich ist, Sicherheitsgrenzen eingehalten werden und die Migration nachvollziehbar rückrollbar ist.</w:t>
      </w:r>
    </w:p>
    <w:p w14:paraId="039E7622" w14:textId="77777777" w:rsidR="00B177EC" w:rsidRDefault="00000000">
      <w:pPr>
        <w:keepNext/>
        <w:spacing w:before="320" w:after="160"/>
      </w:pPr>
      <w:r>
        <w:rPr>
          <w:b/>
          <w:color w:val="2E74B5"/>
          <w:sz w:val="32"/>
        </w:rPr>
        <w:t>10. Erwartung an das Angebot</w:t>
      </w:r>
    </w:p>
    <w:p w14:paraId="7126A3FB" w14:textId="77777777" w:rsidR="00B177EC" w:rsidRDefault="00000000">
      <w:pPr>
        <w:spacing w:after="120" w:line="264" w:lineRule="auto"/>
      </w:pPr>
      <w:r>
        <w:rPr>
          <w:color w:val="000000"/>
        </w:rPr>
        <w:t>Bieter beschreiben ihr Vorgehen anhand eines Architekturdiagramms, einer vorläufigen Reuse-Matrix und eines Migrationsvorschlags. Sie benennen eingesetzte Joomla-Erweiterungen, Lizenz- und Folgekosten, erwartete Mitwirkungsleistungen des Auftraggebers sowie Annahmen und offene Punkte. Angebote, die lediglich einen vollständigen Joomla-Relaunch ohne nachvollziehbare Prüfung der vorhandenen Cockpit-Architektur vorsehen, erfüllen die Zielsetzung dieser Leistungsbeschreibung nicht.</w:t>
      </w:r>
    </w:p>
    <w:sectPr w:rsidR="00B177E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2551D9" w14:textId="77777777" w:rsidR="005C6F02" w:rsidRDefault="005C6F02">
      <w:pPr>
        <w:spacing w:after="0" w:line="240" w:lineRule="auto"/>
      </w:pPr>
      <w:r>
        <w:separator/>
      </w:r>
    </w:p>
  </w:endnote>
  <w:endnote w:type="continuationSeparator" w:id="0">
    <w:p w14:paraId="2344D06F" w14:textId="77777777" w:rsidR="005C6F02" w:rsidRDefault="005C6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20B010" w14:textId="77777777" w:rsidR="00B177EC" w:rsidRDefault="00000000">
    <w:pPr>
      <w:pStyle w:val="Fuzeile"/>
      <w:jc w:val="right"/>
    </w:pPr>
    <w:r>
      <w:rPr>
        <w:color w:val="666666"/>
        <w:sz w:val="17"/>
      </w:rPr>
      <w:t xml:space="preserve">Stand: 20. August 2026 | </w:t>
    </w:r>
    <w:proofErr w:type="spellStart"/>
    <w:r>
      <w:rPr>
        <w:color w:val="666666"/>
        <w:sz w:val="17"/>
      </w:rPr>
      <w:t>Seite</w:t>
    </w:r>
    <w:proofErr w:type="spellEnd"/>
    <w:r>
      <w:rPr>
        <w:color w:val="666666"/>
        <w:sz w:val="17"/>
      </w:rPr>
      <w:t xml:space="preserve"> </w:t>
    </w:r>
    <w:r>
      <w:fldChar w:fldCharType="begin"/>
    </w:r>
    <w:r>
      <w:instrText>PAGE</w:instrText>
    </w:r>
    <w:r>
      <w:fldChar w:fldCharType="separate"/>
    </w:r>
    <w:r w:rsidR="00EA073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6AA95A" w14:textId="77777777" w:rsidR="005C6F02" w:rsidRDefault="005C6F02">
      <w:pPr>
        <w:spacing w:after="0" w:line="240" w:lineRule="auto"/>
      </w:pPr>
      <w:r>
        <w:separator/>
      </w:r>
    </w:p>
  </w:footnote>
  <w:footnote w:type="continuationSeparator" w:id="0">
    <w:p w14:paraId="218C084C" w14:textId="77777777" w:rsidR="005C6F02" w:rsidRDefault="005C6F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127D64" w14:textId="77777777" w:rsidR="00B177EC" w:rsidRDefault="00000000">
    <w:pPr>
      <w:pStyle w:val="Kopfzeile"/>
      <w:jc w:val="right"/>
    </w:pPr>
    <w:proofErr w:type="spellStart"/>
    <w:r>
      <w:rPr>
        <w:color w:val="666666"/>
        <w:sz w:val="17"/>
      </w:rPr>
      <w:t>Guben</w:t>
    </w:r>
    <w:proofErr w:type="spellEnd"/>
    <w:r>
      <w:rPr>
        <w:color w:val="666666"/>
        <w:sz w:val="17"/>
      </w:rPr>
      <w:t xml:space="preserve"> Cockpit | </w:t>
    </w:r>
    <w:proofErr w:type="spellStart"/>
    <w:r>
      <w:rPr>
        <w:color w:val="666666"/>
        <w:sz w:val="17"/>
      </w:rPr>
      <w:t>Leistungsbeschreibung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298336075">
    <w:abstractNumId w:val="8"/>
  </w:num>
  <w:num w:numId="2" w16cid:durableId="1363282963">
    <w:abstractNumId w:val="6"/>
  </w:num>
  <w:num w:numId="3" w16cid:durableId="1739866094">
    <w:abstractNumId w:val="5"/>
  </w:num>
  <w:num w:numId="4" w16cid:durableId="2117361468">
    <w:abstractNumId w:val="4"/>
  </w:num>
  <w:num w:numId="5" w16cid:durableId="331880891">
    <w:abstractNumId w:val="7"/>
  </w:num>
  <w:num w:numId="6" w16cid:durableId="1442723855">
    <w:abstractNumId w:val="3"/>
  </w:num>
  <w:num w:numId="7" w16cid:durableId="1740714036">
    <w:abstractNumId w:val="2"/>
  </w:num>
  <w:num w:numId="8" w16cid:durableId="2059738900">
    <w:abstractNumId w:val="1"/>
  </w:num>
  <w:num w:numId="9" w16cid:durableId="14195922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F02"/>
    <w:rsid w:val="00AA1D8D"/>
    <w:rsid w:val="00AE18B7"/>
    <w:rsid w:val="00B177EC"/>
    <w:rsid w:val="00B47730"/>
    <w:rsid w:val="00CB0664"/>
    <w:rsid w:val="00EA0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88D0B"/>
  <w14:defaultImageDpi w14:val="300"/>
  <w15:docId w15:val="{A15EDD62-2AD5-8840-8DC9-946B9030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1367</Words>
  <Characters>8618</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Philipp Wilimzig</cp:lastModifiedBy>
  <cp:revision>2</cp:revision>
  <dcterms:created xsi:type="dcterms:W3CDTF">2013-12-23T23:15:00Z</dcterms:created>
  <dcterms:modified xsi:type="dcterms:W3CDTF">2026-08-20T15:02:00Z</dcterms:modified>
  <cp:category/>
</cp:coreProperties>
</file>