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EPC</w:t>
      </w:r>
      <w:r>
        <w:t xml:space="preserve"> </w:t>
      </w:r>
      <w:r>
        <w:t xml:space="preserve">data:</w:t>
      </w:r>
      <w:r>
        <w:br/>
      </w:r>
      <w:r>
        <w:t xml:space="preserve">technical</w:t>
      </w:r>
      <w:r>
        <w:t xml:space="preserve"> </w:t>
      </w:r>
      <w:r>
        <w:t xml:space="preserve">documentation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48"/>
        <w:tblLook w:firstRow="1" w:lastRow="0" w:firstColumn="0" w:lastColumn="0" w:noHBand="0" w:noVBand="1"/>
      </w:tblPr>
      <w:tblGrid>
        <w:gridCol w:w="1728"/>
        <w:gridCol w:w="4320"/>
      </w:tblGrid>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Creation date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2020-08-27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Version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Data version 2020-07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Author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Ellen Webborn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Project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Smart Energy Research Lab (SERL)</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Organisation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University College London (UCL)</w:t>
            </w:r>
          </w:p>
        </w:tc>
      </w:tr>
    </w:tbl>
    <w:bookmarkStart w:id="22" w:name="introduction"/>
    <w:p>
      <w:pPr>
        <w:pStyle w:val="Heading1"/>
      </w:pPr>
      <w:r>
        <w:t xml:space="preserve">Introduction</w:t>
      </w:r>
    </w:p>
    <w:p>
      <w:pPr>
        <w:pStyle w:val="FirstParagraph"/>
      </w:pPr>
      <w:r>
        <w:t xml:space="preserve">This document describes the England and Wales Energy Performance Certificate (EPC) data collected for SERL participants, stored in the file</w:t>
      </w:r>
      <w:r>
        <w:t xml:space="preserve"> </w:t>
      </w:r>
      <w:r>
        <w:rPr>
          <w:i/>
        </w:rPr>
        <w:t xml:space="preserve">“</w:t>
      </w:r>
      <w:r>
        <w:rPr>
          <w:i/>
        </w:rPr>
        <w:t xml:space="preserve">SERL_EPC_data_v2020_07.csv</w:t>
      </w:r>
      <w:r>
        <w:rPr>
          <w:i/>
        </w:rPr>
        <w:t xml:space="preserve">”</w:t>
      </w:r>
      <w:r>
        <w:t xml:space="preserve">. The data contains 75 columns and 902 rows (one row per participant with available EPC data). This document lists the EPC variables available along with basic information about the values for each variable such as number of unique values and statistics for numerical variables. A guide to the variables is available</w:t>
      </w:r>
      <w:r>
        <w:t xml:space="preserve"> </w:t>
      </w:r>
      <w:hyperlink r:id="rId20">
        <w:r>
          <w:rPr>
            <w:rStyle w:val="Hyperlink"/>
          </w:rPr>
          <w:t xml:space="preserve">here</w:t>
        </w:r>
      </w:hyperlink>
      <w:r>
        <w:t xml:space="preserve">.</w:t>
      </w:r>
    </w:p>
    <w:p>
      <w:pPr>
        <w:pStyle w:val="BodyText"/>
      </w:pPr>
      <w:r>
        <w:t xml:space="preserve">A few variables have been added to the EPC data since the data were collected (largely in October 2019, a few individual households had data retrieved later), and these will be made available in future SERL data releases. Data were collected with the Domestic Energy Performance Certificates API using the house number and postcode (details</w:t>
      </w:r>
      <w:r>
        <w:t xml:space="preserve"> </w:t>
      </w:r>
      <w:hyperlink r:id="rId21">
        <w:r>
          <w:rPr>
            <w:rStyle w:val="Hyperlink"/>
          </w:rPr>
          <w:t xml:space="preserve">here</w:t>
        </w:r>
      </w:hyperlink>
      <w:r>
        <w:t xml:space="preserve">).</w:t>
      </w:r>
    </w:p>
    <w:p>
      <w:pPr>
        <w:pStyle w:val="BodyText"/>
      </w:pPr>
      <w:r>
        <w:t xml:space="preserve">The data have not been modified from the original source except for the removal of address data (replaced with our PUPRN (a unique identifier) used in the other datasets).</w:t>
      </w:r>
    </w:p>
    <w:bookmarkEnd w:id="22"/>
    <w:bookmarkStart w:id="23" w:name="data-summary"/>
    <w:p>
      <w:pPr>
        <w:pStyle w:val="Heading1"/>
      </w:pPr>
      <w:r>
        <w:t xml:space="preserve">Data summary</w:t>
      </w:r>
    </w:p>
    <w:p>
      <w:pPr>
        <w:pStyle w:val="FirstParagraph"/>
      </w:pPr>
      <w:r>
        <w:t xml:space="preserve">Table 1 lists all variables currently available in the SERL EPC dataset. The number of unique values is given, alongside the R data class and an example value from the dataset.</w:t>
      </w:r>
    </w:p>
    <w:p>
      <w:pPr>
        <w:pStyle w:val="BodyText"/>
      </w:pPr>
      <w:r>
        <w:t xml:space="preserve">Table 1: All EPC variables, the number of unique values found for each variable, the variable (R) class, and an example from the dataset.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variable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n unique values</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class</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example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PUPRN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GZ9RJ1P1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current_energy_rating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potential_energy_rating</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current_energy_efficiency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potential_energy_efficiency</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property_type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built_form</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Detached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inspection_date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2017-10-23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local_authority</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E07000103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constituency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E14001060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lodgement_date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2013-10-03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transaction_type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marketed sale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environment_impact_current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environment_impact_potential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energy_consumption_current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energy_consumption_potential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co2_emissions_current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co2_emiss_curr_per_floor_area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co2_emissions_potential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lighting_cost_current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lighting_cost_potential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heating_cost_current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heating_cost_potential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hot_water_cost_current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hot_water_cost_potential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total_floor_area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energy_tariff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Single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mains_gas_flag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floor_level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Ground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flat_top_storey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flat_storey_count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main_heating_controls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2107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multi_glaze_proportion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glazed_type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double glazing installed during or after 2002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glazed_area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extension_count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number_habitable_rooms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number_heated_rooms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low_energy_lighting</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number_open_fireplaces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hotwater_description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Electric immersion, off-peak</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hot_water_energy_eff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hot_water_env_eff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floor_description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Suspended, no insulation (assumed)</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floor_energy_eff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floor_env_eff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windows_description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Fully double glazed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windows_energy_eff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windows_env_eff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walls_description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Cavity wall, as built, no insulation (assumed)</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walls_energy_eff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walls_env_eff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secondheat_description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Room heaters, electric</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sheating_energy_eff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sheating_env_eff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roof_description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Pitched, insulated at rafters</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roof_energy_eff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roof_env_eff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mainheat_description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Boiler and radiators, mains gas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mainheat_energy_eff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mainheat_env_eff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mainheatcont_description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Manual charge control</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mainheatc_energy_eff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mainheatc_env_eff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lighting_description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Low energy lighting in 57% of fixed outlets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lighting_energy_eff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lighting_env_eff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main_fuel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oil (not community)</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wind_turbine_count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heat_loss_corridoor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unheated corridor</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unheated_corridor_length</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floor_height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numeric</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2.400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photo_supply</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integer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solar_water_heating_flag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mechanical_ventilation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character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natural</w:t>
            </w:r>
          </w:p>
        </w:tc>
      </w:tr>
    </w:tbl>
    <w:p>
      <w:pPr>
        <w:pStyle w:val="BodyText"/>
      </w:pPr>
      <w:r>
        <w:t xml:space="preserve">For variables with fewer than 10 unique values in the EPC dataset, Table 2 shows the number of records with each value and the percent with this value (or non-value in the case of N/A or</w:t>
      </w:r>
      <w:r>
        <w:t xml:space="preserve"> </w:t>
      </w:r>
      <w:r>
        <w:t xml:space="preserve">‘</w:t>
      </w:r>
      <w:r>
        <w:t xml:space="preserve">NO DATA!</w:t>
      </w:r>
      <w:r>
        <w:t xml:space="preserve">’</w:t>
      </w:r>
      <w:r>
        <w:t xml:space="preserve"> </w:t>
      </w:r>
      <w:r>
        <w:t xml:space="preserve">etc.). We also include PUPRN to show the number of records.</w:t>
      </w:r>
    </w:p>
    <w:p>
      <w:pPr>
        <w:pStyle w:val="BodyText"/>
      </w:pPr>
      <w:r>
        <w:t xml:space="preserve">Table 2: The number and percent of each value found in the dataset for each variable with fewer than 10 unique values found.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variable</w:t>
            </w:r>
          </w:p>
        </w:tc>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value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number</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percent</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PUPRN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current_energy_rating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current_energy_rating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current_energy_rating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26.50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current_energy_rating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current_energy_rating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14.41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current_energy_rating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current_energy_rating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potential_energy_rating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potential_energy_rating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46.12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potential_energy_rating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potential_energy_rating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potential_energy_rating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potential_energy_rating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potential_energy_rating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property_type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Bungalow</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16.63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property_type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property_type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House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63.53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property_type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Maisonette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property_type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Park home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built_form</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Detached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built_form</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Enclosed End-Terrace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built_form</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Enclosed Mid-Terrace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built_form</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End-Terrace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11.86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built_form</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Mid-Terrace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built_form</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 DATA!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built_form</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Semi-Detached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energy_tariff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 DATA!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energy_tariff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Single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energy_tariff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Unknown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8.98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energy_tariff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dual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energy_tariff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dual (24 hour)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energy_tariff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off-peak 7 hour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energy_tariff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standard tariff</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mains_gas_flag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mains_gas_flag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12.64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mains_gas_flag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flat_top_storey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83.37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flat_top_storey</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flat_top_storey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flat_storey_count</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flat_storey_count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flat_storey_count</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flat_storey_count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flat_storey_count</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flat_storey_count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glazed_type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INVALID!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glazed_type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 DATA!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glazed_type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double glazing installed before 2002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glazed_type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double glazing installed during or after 2002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29.93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glazed_type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double glazing, unknown install date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glazed_type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not defined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glazed_type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secondary glazing</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glazed_type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single glazing</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glazed_type</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triple glazing</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glazed_area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More Than Typical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glazed_area</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Much Less Than Typical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glazed_area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Much More Than Typical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0.89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glazed_area</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 DATA!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glazed_area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Normal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813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90.13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extension_count</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extension_count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55.43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extension_count</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extension_count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8.54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extension_count</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extension_count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0.67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number_open_fireplaces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number_open_fireplaces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741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82.15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number_open_fireplaces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number_open_fireplaces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number_open_fireplaces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number_open_fireplaces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number_open_fireplaces</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16.74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580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14.75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7.10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57.54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 DATA!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3.44</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30.60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30.60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windows_env_eff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22.51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14.52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walls_env_eff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22.51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sheating_energy_eff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sheating_env_eff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41.69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12.86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169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41.69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roof_env_eff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12.86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78.49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80.38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53.10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53.10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5.76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mainheatc_env_eff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lighting_energy_eff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lighting_energy_eff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Average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Good</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Poor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lighting_env_eff</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Good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lighting_env_eff</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Very Poor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wind_turbine_count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3.99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wind_turbine_count</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wind_turbine_count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95.57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wind_turbine_count</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heat_loss_corridoor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 DATA!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83.37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heat_loss_corridoor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heated corridor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heat_loss_corridoor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 corridor</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heat_loss_corridoor</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unheated corridor</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photo_supply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46.56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photo_supply</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photo_supply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photo_supply</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photo_supply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photo_supply</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solar_water_heating_flag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44.46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solar_water_heating_flag</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496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solar_water_heating_flag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mechanical_ventilation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 DATA!</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mechanical_ventilation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mechanical, extract only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mechanical_ventilation</w:t>
            </w:r>
          </w:p>
        </w:tc>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mechanical, supply and extract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mechanical_ventilation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natural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92.46</w:t>
            </w:r>
          </w:p>
        </w:tc>
      </w:tr>
    </w:tbl>
    <w:p>
      <w:pPr>
        <w:pStyle w:val="BodyText"/>
      </w:pPr>
      <w:r>
        <w:t xml:space="preserve">Table 3 provides basic summary statistics for numeric variables. The column</w:t>
      </w:r>
      <w:r>
        <w:t xml:space="preserve"> </w:t>
      </w:r>
      <w:r>
        <w:t xml:space="preserve">‘</w:t>
      </w:r>
      <w:r>
        <w:t xml:space="preserve">n</w:t>
      </w:r>
      <w:r>
        <w:t xml:space="preserve">’</w:t>
      </w:r>
      <w:r>
        <w:t xml:space="preserve"> </w:t>
      </w:r>
      <w:r>
        <w:t xml:space="preserve">shows the number of values that were possible to include in the statistics (N/A and similar responses are excluded).</w:t>
      </w:r>
    </w:p>
    <w:p>
      <w:pPr>
        <w:pStyle w:val="BodyText"/>
      </w:pPr>
      <w:r>
        <w:t xml:space="preserve">Table 3: Basic statistics for integer and numeric variables.</w:t>
      </w:r>
      <w:r>
        <w:t xml:space="preserve"> </w:t>
      </w:r>
      <w:r>
        <w:t xml:space="preserve">‘</w:t>
      </w:r>
      <w:r>
        <w:t xml:space="preserve">n</w:t>
      </w:r>
      <w:r>
        <w:t xml:space="preserve">’</w:t>
      </w:r>
      <w:r>
        <w:t xml:space="preserve"> </w:t>
      </w:r>
      <w:r>
        <w:t xml:space="preserve">is the number of values used in the calculations (i.e. the non-NA values).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shd w:val="clear" w:color="auto" w:fill="548DD4"/>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variable</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n</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min</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max</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mean</w:t>
            </w:r>
          </w:p>
        </w:tc>
        <w:tc>
          <w:tcPr>
            <w:tcBorders/>
            <w:shd w:val="clear" w:color="auto" w:fill="548DD4"/>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i/>
                <w:sz w:val="22"/>
                <w:szCs w:val="22"/>
                <w:color w:val="FFFFFF"/>
              </w:rPr>
              <w:t xml:space="preserve">standard deviation</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current_energy_efficiency</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185.00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63.15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potential_energy_efficiency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197.00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78.19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11.25</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environment_impact_current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60.45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15.67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environment_impact_potential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232.00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76.31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12.92</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energy_consumption_current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-754.0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1226.00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245.54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118.89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energy_consumption_potential</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-827.0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1030.00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139.79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97.23</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co2_emissions_current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4.35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co2_emiss_curr_per_floor_area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188.00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44.51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21.19</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co2_emissions_potential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28.00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2.50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lighting_cost_current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18.0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419.00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83.23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36.81</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lighting_cost_potential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226.00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56.92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heating_cost_current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-2233.0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5989.00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727.61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520.70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heating_cost_potential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-2224.0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4503.00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544.51</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357.14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hot_water_cost_current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672.00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140.68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67.30</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hot_water_cost_potential</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351.00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95.06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total_floor_area</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902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371.00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97.72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46.96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flat_storey_count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3.05</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main_heating_controls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841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2101.0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2706.00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2137.28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104.27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multi_glaze_proportion</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91.03</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extension_count</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0.77</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number_habitable_rooms</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839</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13.00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number_heated_rooms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839</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4.67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1.78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low_energy_lighting</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872</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47.67</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33.91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number_open_fireplaces</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875</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7.00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0.56</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wind_turbine_count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866</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unheated_corridor_length</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66</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19.57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6.11</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3.28</w:t>
            </w:r>
          </w:p>
        </w:tc>
      </w:tr>
      <w:tr>
        <w:trPr>
          <w:cantSplit/>
          <w:trHeight w:val="360" w:hRule="auto"/>
        </w:trPr>
        <w:tc>
          <w:tcPr>
            <w:tcBorders/>
            <w:shd w:val="clear" w:color="auto" w:fill="F2F2F2"/>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floor_height</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304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3.50</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2.44</w:t>
            </w:r>
          </w:p>
        </w:tc>
        <w:tc>
          <w:tcPr>
            <w:tcBorders/>
            <w:shd w:val="clear" w:color="auto" w:fill="F2F2F2"/>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photo_supply</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482</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3.88</w:t>
            </w:r>
          </w:p>
        </w:tc>
      </w:tr>
    </w:tbl>
    <w:bookmarkEnd w:id="23"/>
    <w:sectPr w:rsidR="00F11388" w:rsidSect="008C42CE">
      <w:footerReference w:type="default" r:id="rId9"/>
      <w:pgSz w:w="12240" w:h="15840"/>
      <w:pgMar w:top="1080" w:right="1440" w:bottom="108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2A0C4F" w:rsidRDefault="002A0C4F" w:rsidP="002A0C4F">
        <w:pPr>
          <w:pStyle w:val="Footer"/>
        </w:pPr>
        <w:r>
          <w:fldChar w:fldCharType="begin"/>
        </w:r>
        <w:r>
          <w:instrText xml:space="preserve"> PAGE   \* MERGEFORMAT </w:instrText>
        </w:r>
        <w:r>
          <w:fldChar w:fldCharType="separate"/>
        </w:r>
        <w:r w:rsidR="008C42CE">
          <w:rPr>
            <w:noProof/>
          </w:rPr>
          <w:t>2</w:t>
        </w:r>
        <w:r>
          <w:rPr>
            <w:noProof/>
          </w:rPr>
          <w:fldChar w:fldCharType="end"/>
        </w:r>
      </w:p>
    </w:sdtContent>
  </w:sdt>
  <w:p w:rsidR="002A0C4F" w:rsidRDefault="002A0C4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3888B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0D211A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61A64A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1545AD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6907E9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7E49A8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5AEEC1E4"/>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E5E695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72251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F6F8288C"/>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C35"/>
    <w:pPr>
      <w:spacing w:before="180" w:after="180"/>
    </w:pPr>
    <w:rPr>
      <w:rFonts w:ascii="Verdana" w:hAnsi="Verdana"/>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rPr>
      <w:sz w:val="22"/>
    </w:rPr>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776C28"/>
    <w:rPr>
      <w:rFonts w:ascii="Verdana" w:hAnsi="Verdana"/>
      <w:color w:val="C2204F"/>
      <w:sz w:val="24"/>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rPr>
      <w:sz w:val="22"/>
    </w:r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1" Target="https://epc.opendatacommunities.org/docs/api/domestic" TargetMode="External" /><Relationship Type="http://schemas.openxmlformats.org/officeDocument/2006/relationships/hyperlink" Id="rId20" Target="https://epc.opendatacommunities.org/docs/guidance#glossary_domestic" TargetMode="External" /></Relationships>
</file>

<file path=word/_rels/footnotes.xml.rels><?xml version="1.0" encoding="UTF-8"?>
<Relationships xmlns="http://schemas.openxmlformats.org/package/2006/relationships"><Relationship Type="http://schemas.openxmlformats.org/officeDocument/2006/relationships/hyperlink" Id="rId21" Target="https://epc.opendatacommunities.org/docs/api/domestic" TargetMode="External" /><Relationship Type="http://schemas.openxmlformats.org/officeDocument/2006/relationships/hyperlink" Id="rId20" Target="https://epc.opendatacommunities.org/docs/guidance#glossary_domest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SERL_word_template</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EPC data: technical documentation</dc:title>
  <dc:creator/>
  <cp:keywords/>
  <dcterms:created xsi:type="dcterms:W3CDTF">2020-08-27T10:40:49Z</dcterms:created>
  <dcterms:modified xsi:type="dcterms:W3CDTF">2020-08-27T10:40:49Z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