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04B0C1">
      <w:pPr>
        <w:jc w:val="center"/>
        <w:rPr>
          <w:sz w:val="32"/>
          <w:szCs w:val="32"/>
        </w:rPr>
      </w:pPr>
      <w:r>
        <w:rPr>
          <w:rFonts w:hint="eastAsia"/>
          <w:sz w:val="32"/>
          <w:szCs w:val="32"/>
        </w:rPr>
        <w:t>拟稿自评</w:t>
      </w:r>
    </w:p>
    <w:p w14:paraId="773A4720">
      <w:pPr>
        <w:jc w:val="left"/>
      </w:pPr>
    </w:p>
    <w:p w14:paraId="36E55152">
      <w:pPr>
        <w:ind w:left="-567" w:leftChars="-270"/>
        <w:jc w:val="left"/>
      </w:pPr>
      <w:r>
        <w:rPr>
          <w:rFonts w:hint="eastAsia"/>
        </w:rPr>
        <w:t>姓名</w:t>
      </w:r>
      <w:r>
        <w:rPr>
          <w:rFonts w:hint="eastAsia"/>
          <w:u w:val="single"/>
        </w:rPr>
        <w:t xml:space="preserve"> </w:t>
      </w:r>
      <w:r>
        <w:rPr>
          <w:u w:val="single"/>
        </w:rPr>
        <w:t xml:space="preserve">        </w:t>
      </w:r>
      <w:r>
        <w:rPr>
          <w:rFonts w:hint="eastAsia"/>
          <w:u w:val="single"/>
          <w:lang w:val="en-US" w:eastAsia="zh-CN"/>
        </w:rPr>
        <w:t>郭嘉乐</w:t>
      </w:r>
      <w:r>
        <w:rPr>
          <w:u w:val="single"/>
        </w:rPr>
        <w:t xml:space="preserve">        </w:t>
      </w:r>
      <w:r>
        <w:rPr>
          <w:rFonts w:hint="eastAsia"/>
        </w:rPr>
        <w:t>写作课班级序号</w:t>
      </w:r>
      <w:r>
        <w:rPr>
          <w:rFonts w:hint="eastAsia"/>
          <w:u w:val="single"/>
        </w:rPr>
        <w:t xml:space="preserve"> </w:t>
      </w:r>
      <w:r>
        <w:rPr>
          <w:u w:val="single"/>
        </w:rPr>
        <w:t xml:space="preserve">    </w:t>
      </w:r>
      <w:r>
        <w:rPr>
          <w:rFonts w:hint="eastAsia"/>
          <w:u w:val="single"/>
          <w:lang w:val="en-US" w:eastAsia="zh-CN"/>
        </w:rPr>
        <w:t>13</w:t>
      </w:r>
      <w:r>
        <w:rPr>
          <w:u w:val="single"/>
        </w:rPr>
        <w:t xml:space="preserve">    </w:t>
      </w:r>
      <w:r>
        <w:rPr>
          <w:rFonts w:hint="eastAsia"/>
        </w:rPr>
        <w:t>文章名称</w:t>
      </w:r>
      <w:r>
        <w:rPr>
          <w:rFonts w:hint="eastAsia"/>
          <w:u w:val="single"/>
        </w:rPr>
        <w:t xml:space="preserve"> </w:t>
      </w:r>
      <w:r>
        <w:rPr>
          <w:u w:val="single"/>
        </w:rPr>
        <w:t xml:space="preserve">         </w:t>
      </w:r>
      <w:r>
        <w:rPr>
          <w:rFonts w:hint="eastAsia"/>
          <w:u w:val="single"/>
        </w:rPr>
        <w:t>暴力与对抗：探究《哈利·波特》世界观中的暴力组织</w:t>
      </w:r>
      <w:r>
        <w:rPr>
          <w:u w:val="single"/>
        </w:rPr>
        <w:t xml:space="preserve">                      </w:t>
      </w:r>
    </w:p>
    <w:p w14:paraId="414D30FA"/>
    <w:tbl>
      <w:tblPr>
        <w:tblStyle w:val="9"/>
        <w:tblW w:w="9214" w:type="dxa"/>
        <w:tblInd w:w="-5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4905"/>
        <w:gridCol w:w="846"/>
        <w:gridCol w:w="2617"/>
      </w:tblGrid>
      <w:tr w14:paraId="6827D9D0">
        <w:tc>
          <w:tcPr>
            <w:tcW w:w="709" w:type="dxa"/>
          </w:tcPr>
          <w:p w14:paraId="2861F42A">
            <w:pPr>
              <w:jc w:val="center"/>
            </w:pPr>
            <w:r>
              <w:rPr>
                <w:rFonts w:hint="eastAsia"/>
              </w:rPr>
              <w:t>序号</w:t>
            </w:r>
          </w:p>
        </w:tc>
        <w:tc>
          <w:tcPr>
            <w:tcW w:w="5103" w:type="dxa"/>
          </w:tcPr>
          <w:p w14:paraId="5793B6B9">
            <w:pPr>
              <w:jc w:val="center"/>
            </w:pPr>
            <w:r>
              <w:rPr>
                <w:rFonts w:hint="eastAsia"/>
              </w:rPr>
              <w:t>自评项目</w:t>
            </w:r>
          </w:p>
        </w:tc>
        <w:tc>
          <w:tcPr>
            <w:tcW w:w="709" w:type="dxa"/>
          </w:tcPr>
          <w:p w14:paraId="7F8C19FB">
            <w:pPr>
              <w:jc w:val="center"/>
            </w:pPr>
            <w:r>
              <w:rPr>
                <w:rFonts w:hint="eastAsia"/>
              </w:rPr>
              <w:t>分值</w:t>
            </w:r>
          </w:p>
          <w:p w14:paraId="58D5B8EA">
            <w:pPr>
              <w:jc w:val="center"/>
            </w:pPr>
          </w:p>
        </w:tc>
        <w:tc>
          <w:tcPr>
            <w:tcW w:w="2693" w:type="dxa"/>
          </w:tcPr>
          <w:p w14:paraId="1A23BD74">
            <w:pPr>
              <w:jc w:val="center"/>
            </w:pPr>
            <w:r>
              <w:rPr>
                <w:rFonts w:hint="eastAsia"/>
              </w:rPr>
              <w:t>备注</w:t>
            </w:r>
          </w:p>
        </w:tc>
      </w:tr>
      <w:tr w14:paraId="7F49E2A2">
        <w:tc>
          <w:tcPr>
            <w:tcW w:w="709" w:type="dxa"/>
          </w:tcPr>
          <w:p w14:paraId="558AAF90">
            <w:r>
              <w:rPr>
                <w:rFonts w:hint="eastAsia"/>
              </w:rPr>
              <w:t>1</w:t>
            </w:r>
          </w:p>
        </w:tc>
        <w:tc>
          <w:tcPr>
            <w:tcW w:w="5103" w:type="dxa"/>
          </w:tcPr>
          <w:p w14:paraId="5BDBF620">
            <w:r>
              <w:rPr>
                <w:rFonts w:hint="eastAsia"/>
              </w:rPr>
              <w:t>我细致地阅读了理论类书籍一个章节以上（在备注栏标注书名）</w:t>
            </w:r>
          </w:p>
        </w:tc>
        <w:tc>
          <w:tcPr>
            <w:tcW w:w="709" w:type="dxa"/>
          </w:tcPr>
          <w:p w14:paraId="207E033E">
            <w:pPr>
              <w:rPr>
                <w:rFonts w:hint="eastAsia" w:eastAsiaTheme="minorEastAsia"/>
                <w:lang w:val="en-US" w:eastAsia="zh-CN"/>
              </w:rPr>
            </w:pPr>
            <w:r>
              <w:rPr>
                <w:rFonts w:hint="eastAsia"/>
                <w:lang w:val="en-US" w:eastAsia="zh-CN"/>
              </w:rPr>
              <w:t>1</w:t>
            </w:r>
          </w:p>
        </w:tc>
        <w:tc>
          <w:tcPr>
            <w:tcW w:w="2693" w:type="dxa"/>
          </w:tcPr>
          <w:p w14:paraId="1D4F1E4B">
            <w:pPr>
              <w:rPr>
                <w:rFonts w:hint="eastAsia" w:eastAsiaTheme="minorEastAsia"/>
                <w:lang w:eastAsia="zh-CN"/>
              </w:rPr>
            </w:pPr>
            <w:r>
              <w:rPr>
                <w:rFonts w:hint="eastAsia"/>
                <w:lang w:eastAsia="zh-CN"/>
              </w:rPr>
              <w:t>《</w:t>
            </w:r>
            <w:r>
              <w:rPr>
                <w:rFonts w:hint="eastAsia"/>
                <w:lang w:val="en-US" w:eastAsia="zh-CN"/>
              </w:rPr>
              <w:t>规训与惩罚</w:t>
            </w:r>
            <w:r>
              <w:rPr>
                <w:rFonts w:hint="eastAsia"/>
                <w:lang w:eastAsia="zh-CN"/>
              </w:rPr>
              <w:t>》</w:t>
            </w:r>
          </w:p>
        </w:tc>
      </w:tr>
      <w:tr w14:paraId="05C4C261">
        <w:tc>
          <w:tcPr>
            <w:tcW w:w="709" w:type="dxa"/>
          </w:tcPr>
          <w:p w14:paraId="3107A674">
            <w:r>
              <w:rPr>
                <w:rFonts w:hint="eastAsia"/>
              </w:rPr>
              <w:t>2</w:t>
            </w:r>
          </w:p>
        </w:tc>
        <w:tc>
          <w:tcPr>
            <w:tcW w:w="5103" w:type="dxa"/>
          </w:tcPr>
          <w:p w14:paraId="78A0ABBB">
            <w:r>
              <w:rPr>
                <w:rFonts w:hint="eastAsia"/>
              </w:rPr>
              <w:t>阅读的内容能够部分更新我之前的认知</w:t>
            </w:r>
          </w:p>
        </w:tc>
        <w:tc>
          <w:tcPr>
            <w:tcW w:w="709" w:type="dxa"/>
          </w:tcPr>
          <w:p w14:paraId="46E918B3">
            <w:pPr>
              <w:rPr>
                <w:rFonts w:hint="eastAsia" w:eastAsiaTheme="minorEastAsia"/>
                <w:lang w:val="en-US" w:eastAsia="zh-CN"/>
              </w:rPr>
            </w:pPr>
            <w:r>
              <w:rPr>
                <w:rFonts w:hint="eastAsia"/>
                <w:lang w:val="en-US" w:eastAsia="zh-CN"/>
              </w:rPr>
              <w:t>1</w:t>
            </w:r>
          </w:p>
        </w:tc>
        <w:tc>
          <w:tcPr>
            <w:tcW w:w="2693" w:type="dxa"/>
          </w:tcPr>
          <w:p w14:paraId="776556ED"/>
        </w:tc>
      </w:tr>
      <w:tr w14:paraId="6BEC07BF">
        <w:tc>
          <w:tcPr>
            <w:tcW w:w="709" w:type="dxa"/>
          </w:tcPr>
          <w:p w14:paraId="6E93A9F8">
            <w:r>
              <w:rPr>
                <w:rFonts w:hint="eastAsia"/>
              </w:rPr>
              <w:t>3</w:t>
            </w:r>
          </w:p>
        </w:tc>
        <w:tc>
          <w:tcPr>
            <w:tcW w:w="5103" w:type="dxa"/>
          </w:tcPr>
          <w:p w14:paraId="0615EE03">
            <w:r>
              <w:rPr>
                <w:rFonts w:hint="eastAsia"/>
              </w:rPr>
              <w:t>阅读的内容能够为我提供学术概念或理论（在备注栏简要列出）</w:t>
            </w:r>
          </w:p>
        </w:tc>
        <w:tc>
          <w:tcPr>
            <w:tcW w:w="709" w:type="dxa"/>
          </w:tcPr>
          <w:p w14:paraId="12589454">
            <w:pPr>
              <w:rPr>
                <w:rFonts w:hint="eastAsia" w:eastAsiaTheme="minorEastAsia"/>
                <w:lang w:val="en-US" w:eastAsia="zh-CN"/>
              </w:rPr>
            </w:pPr>
            <w:r>
              <w:rPr>
                <w:rFonts w:hint="eastAsia"/>
                <w:lang w:val="en-US" w:eastAsia="zh-CN"/>
              </w:rPr>
              <w:t>1</w:t>
            </w:r>
          </w:p>
        </w:tc>
        <w:tc>
          <w:tcPr>
            <w:tcW w:w="2693" w:type="dxa"/>
          </w:tcPr>
          <w:p w14:paraId="6B3F0692">
            <w:pPr>
              <w:rPr>
                <w:rFonts w:hint="default" w:eastAsiaTheme="minorEastAsia"/>
                <w:lang w:val="en-US" w:eastAsia="zh-CN"/>
              </w:rPr>
            </w:pPr>
            <w:r>
              <w:rPr>
                <w:rFonts w:hint="eastAsia"/>
                <w:lang w:eastAsia="zh-CN"/>
              </w:rPr>
              <w:t>《</w:t>
            </w:r>
            <w:r>
              <w:rPr>
                <w:rFonts w:hint="eastAsia"/>
                <w:lang w:val="en-US" w:eastAsia="zh-CN"/>
              </w:rPr>
              <w:t>规训与惩罚</w:t>
            </w:r>
            <w:r>
              <w:rPr>
                <w:rFonts w:hint="eastAsia"/>
                <w:lang w:eastAsia="zh-CN"/>
              </w:rPr>
              <w:t>》</w:t>
            </w:r>
            <w:r>
              <w:rPr>
                <w:rFonts w:hint="eastAsia"/>
                <w:lang w:val="en-US" w:eastAsia="zh-CN"/>
              </w:rPr>
              <w:t>对酷刑的兴起和废止的探讨</w:t>
            </w:r>
          </w:p>
        </w:tc>
      </w:tr>
      <w:tr w14:paraId="58CD384B">
        <w:tc>
          <w:tcPr>
            <w:tcW w:w="709" w:type="dxa"/>
          </w:tcPr>
          <w:p w14:paraId="579072FA">
            <w:r>
              <w:rPr>
                <w:rFonts w:hint="eastAsia"/>
              </w:rPr>
              <w:t>4</w:t>
            </w:r>
          </w:p>
        </w:tc>
        <w:tc>
          <w:tcPr>
            <w:tcW w:w="5103" w:type="dxa"/>
          </w:tcPr>
          <w:p w14:paraId="50885451">
            <w:r>
              <w:rPr>
                <w:rFonts w:hint="eastAsia"/>
              </w:rPr>
              <w:t>我在阅读的同时做了两栏式笔记来记录自己的要点梳理及回应内容</w:t>
            </w:r>
          </w:p>
        </w:tc>
        <w:tc>
          <w:tcPr>
            <w:tcW w:w="709" w:type="dxa"/>
          </w:tcPr>
          <w:p w14:paraId="19177DD2">
            <w:pPr>
              <w:rPr>
                <w:rFonts w:hint="eastAsia" w:eastAsiaTheme="minorEastAsia"/>
                <w:lang w:val="en-US" w:eastAsia="zh-CN"/>
              </w:rPr>
            </w:pPr>
            <w:r>
              <w:rPr>
                <w:rFonts w:hint="eastAsia"/>
                <w:lang w:val="en-US" w:eastAsia="zh-CN"/>
              </w:rPr>
              <w:t>1</w:t>
            </w:r>
          </w:p>
        </w:tc>
        <w:tc>
          <w:tcPr>
            <w:tcW w:w="2693" w:type="dxa"/>
          </w:tcPr>
          <w:p w14:paraId="3542A553"/>
        </w:tc>
      </w:tr>
      <w:tr w14:paraId="72BF60C7">
        <w:tc>
          <w:tcPr>
            <w:tcW w:w="709" w:type="dxa"/>
          </w:tcPr>
          <w:p w14:paraId="6ADD2927">
            <w:r>
              <w:rPr>
                <w:rFonts w:hint="eastAsia"/>
              </w:rPr>
              <w:t>5</w:t>
            </w:r>
          </w:p>
        </w:tc>
        <w:tc>
          <w:tcPr>
            <w:tcW w:w="5103" w:type="dxa"/>
          </w:tcPr>
          <w:p w14:paraId="53F5789A">
            <w:r>
              <w:rPr>
                <w:rFonts w:hint="eastAsia"/>
              </w:rPr>
              <w:t>我从回应的内容中发展出了初步的、与《哈利波特》相关的问题或主题（在备注栏简要列出）</w:t>
            </w:r>
          </w:p>
        </w:tc>
        <w:tc>
          <w:tcPr>
            <w:tcW w:w="709" w:type="dxa"/>
          </w:tcPr>
          <w:p w14:paraId="0B20803E">
            <w:pPr>
              <w:rPr>
                <w:rFonts w:hint="eastAsia" w:eastAsiaTheme="minorEastAsia"/>
                <w:lang w:val="en-US" w:eastAsia="zh-CN"/>
              </w:rPr>
            </w:pPr>
            <w:r>
              <w:rPr>
                <w:rFonts w:hint="eastAsia"/>
                <w:lang w:val="en-US" w:eastAsia="zh-CN"/>
              </w:rPr>
              <w:t>1</w:t>
            </w:r>
          </w:p>
        </w:tc>
        <w:tc>
          <w:tcPr>
            <w:tcW w:w="2693" w:type="dxa"/>
          </w:tcPr>
          <w:p w14:paraId="78E48B42">
            <w:pPr>
              <w:rPr>
                <w:rFonts w:hint="default" w:eastAsiaTheme="minorEastAsia"/>
                <w:lang w:val="en-US" w:eastAsia="zh-CN"/>
              </w:rPr>
            </w:pPr>
            <w:r>
              <w:rPr>
                <w:rFonts w:hint="eastAsia"/>
                <w:lang w:val="en-US" w:eastAsia="zh-CN"/>
              </w:rPr>
              <w:t>哈利波特世界观里的暴力组织发展</w:t>
            </w:r>
          </w:p>
        </w:tc>
      </w:tr>
      <w:tr w14:paraId="39B3978A">
        <w:tc>
          <w:tcPr>
            <w:tcW w:w="709" w:type="dxa"/>
          </w:tcPr>
          <w:p w14:paraId="021620E3">
            <w:r>
              <w:rPr>
                <w:rFonts w:hint="eastAsia"/>
              </w:rPr>
              <w:t>6</w:t>
            </w:r>
          </w:p>
        </w:tc>
        <w:tc>
          <w:tcPr>
            <w:tcW w:w="5103" w:type="dxa"/>
          </w:tcPr>
          <w:p w14:paraId="32F0B199">
            <w:r>
              <w:rPr>
                <w:rFonts w:hint="eastAsia"/>
              </w:rPr>
              <w:t>我围绕自己提出的主题设计了逻辑线</w:t>
            </w:r>
          </w:p>
        </w:tc>
        <w:tc>
          <w:tcPr>
            <w:tcW w:w="709" w:type="dxa"/>
          </w:tcPr>
          <w:p w14:paraId="56DA056F">
            <w:pPr>
              <w:rPr>
                <w:rFonts w:hint="default" w:eastAsiaTheme="minorEastAsia"/>
                <w:lang w:val="en-US" w:eastAsia="zh-CN"/>
              </w:rPr>
            </w:pPr>
            <w:r>
              <w:rPr>
                <w:rFonts w:hint="eastAsia"/>
                <w:lang w:val="en-US" w:eastAsia="zh-CN"/>
              </w:rPr>
              <w:t>1</w:t>
            </w:r>
          </w:p>
        </w:tc>
        <w:tc>
          <w:tcPr>
            <w:tcW w:w="2693" w:type="dxa"/>
          </w:tcPr>
          <w:p w14:paraId="050F5EC6"/>
        </w:tc>
      </w:tr>
      <w:tr w14:paraId="5B9CA80D">
        <w:tc>
          <w:tcPr>
            <w:tcW w:w="709" w:type="dxa"/>
          </w:tcPr>
          <w:p w14:paraId="4394A740">
            <w:r>
              <w:rPr>
                <w:rFonts w:hint="eastAsia"/>
              </w:rPr>
              <w:t>7</w:t>
            </w:r>
          </w:p>
        </w:tc>
        <w:tc>
          <w:tcPr>
            <w:tcW w:w="5103" w:type="dxa"/>
          </w:tcPr>
          <w:p w14:paraId="39C95928">
            <w:r>
              <w:rPr>
                <w:rFonts w:hint="eastAsia"/>
              </w:rPr>
              <w:t>我的分析论证部分依赖理论书籍中的内容展开</w:t>
            </w:r>
          </w:p>
        </w:tc>
        <w:tc>
          <w:tcPr>
            <w:tcW w:w="709" w:type="dxa"/>
          </w:tcPr>
          <w:p w14:paraId="7C6E2D11">
            <w:pPr>
              <w:rPr>
                <w:rFonts w:hint="eastAsia" w:eastAsiaTheme="minorEastAsia"/>
                <w:lang w:val="en-US" w:eastAsia="zh-CN"/>
              </w:rPr>
            </w:pPr>
            <w:r>
              <w:rPr>
                <w:rFonts w:hint="eastAsia"/>
                <w:lang w:val="en-US" w:eastAsia="zh-CN"/>
              </w:rPr>
              <w:t>1</w:t>
            </w:r>
          </w:p>
        </w:tc>
        <w:tc>
          <w:tcPr>
            <w:tcW w:w="2693" w:type="dxa"/>
          </w:tcPr>
          <w:p w14:paraId="29C3E7B4"/>
        </w:tc>
      </w:tr>
      <w:tr w14:paraId="3EBC54A5">
        <w:tc>
          <w:tcPr>
            <w:tcW w:w="709" w:type="dxa"/>
          </w:tcPr>
          <w:p w14:paraId="2FABE845">
            <w:r>
              <w:rPr>
                <w:rFonts w:hint="eastAsia"/>
              </w:rPr>
              <w:t>8</w:t>
            </w:r>
          </w:p>
        </w:tc>
        <w:tc>
          <w:tcPr>
            <w:tcW w:w="5103" w:type="dxa"/>
          </w:tcPr>
          <w:p w14:paraId="23E7D563">
            <w:r>
              <w:rPr>
                <w:rFonts w:hint="eastAsia"/>
              </w:rPr>
              <w:t>我从《关键词》中找到了与本研究相关的学术概念（在备注栏列出）；或，我可以列举与本研究相关的学术概念，并找到对这些概念进行细致阐述的学术文章或学术书籍（在备注栏列出概念及文献名称）</w:t>
            </w:r>
          </w:p>
        </w:tc>
        <w:tc>
          <w:tcPr>
            <w:tcW w:w="709" w:type="dxa"/>
          </w:tcPr>
          <w:p w14:paraId="0FF20891">
            <w:pPr>
              <w:rPr>
                <w:rFonts w:hint="eastAsia" w:eastAsiaTheme="minorEastAsia"/>
                <w:lang w:val="en-US" w:eastAsia="zh-CN"/>
              </w:rPr>
            </w:pPr>
            <w:r>
              <w:rPr>
                <w:rFonts w:hint="eastAsia"/>
                <w:lang w:val="en-US" w:eastAsia="zh-CN"/>
              </w:rPr>
              <w:t>1</w:t>
            </w:r>
          </w:p>
        </w:tc>
        <w:tc>
          <w:tcPr>
            <w:tcW w:w="2693" w:type="dxa"/>
          </w:tcPr>
          <w:p w14:paraId="533F4EBC">
            <w:pPr>
              <w:rPr>
                <w:rFonts w:hint="eastAsia" w:eastAsiaTheme="minorEastAsia"/>
                <w:lang w:val="en-US" w:eastAsia="zh-CN"/>
              </w:rPr>
            </w:pPr>
            <w:r>
              <w:rPr>
                <w:rFonts w:hint="eastAsia"/>
                <w:lang w:val="en-US" w:eastAsia="zh-CN"/>
              </w:rPr>
              <w:t>公共权力，《家庭、私有制和国家的起源》</w:t>
            </w:r>
          </w:p>
        </w:tc>
      </w:tr>
      <w:tr w14:paraId="5009D68F">
        <w:tc>
          <w:tcPr>
            <w:tcW w:w="709" w:type="dxa"/>
          </w:tcPr>
          <w:p w14:paraId="515C8C37">
            <w:r>
              <w:rPr>
                <w:rFonts w:hint="eastAsia"/>
              </w:rPr>
              <w:t>9</w:t>
            </w:r>
          </w:p>
        </w:tc>
        <w:tc>
          <w:tcPr>
            <w:tcW w:w="5103" w:type="dxa"/>
          </w:tcPr>
          <w:p w14:paraId="3830FF7D">
            <w:r>
              <w:rPr>
                <w:rFonts w:hint="eastAsia"/>
              </w:rPr>
              <w:t>我出声朗读了自己的文章至少两遍</w:t>
            </w:r>
          </w:p>
        </w:tc>
        <w:tc>
          <w:tcPr>
            <w:tcW w:w="709" w:type="dxa"/>
          </w:tcPr>
          <w:p w14:paraId="4AC63327">
            <w:pPr>
              <w:rPr>
                <w:rFonts w:hint="eastAsia" w:eastAsiaTheme="minorEastAsia"/>
                <w:lang w:val="en-US" w:eastAsia="zh-CN"/>
              </w:rPr>
            </w:pPr>
            <w:r>
              <w:rPr>
                <w:rFonts w:hint="eastAsia"/>
                <w:lang w:val="en-US" w:eastAsia="zh-CN"/>
              </w:rPr>
              <w:t>1</w:t>
            </w:r>
          </w:p>
        </w:tc>
        <w:tc>
          <w:tcPr>
            <w:tcW w:w="2693" w:type="dxa"/>
          </w:tcPr>
          <w:p w14:paraId="30A549B8"/>
        </w:tc>
      </w:tr>
      <w:tr w14:paraId="00564CE5">
        <w:tc>
          <w:tcPr>
            <w:tcW w:w="709" w:type="dxa"/>
          </w:tcPr>
          <w:p w14:paraId="3CFD88AF">
            <w:r>
              <w:rPr>
                <w:rFonts w:hint="eastAsia"/>
              </w:rPr>
              <w:t>1</w:t>
            </w:r>
            <w:r>
              <w:t>0</w:t>
            </w:r>
          </w:p>
        </w:tc>
        <w:tc>
          <w:tcPr>
            <w:tcW w:w="5103" w:type="dxa"/>
          </w:tcPr>
          <w:p w14:paraId="069DBA0D">
            <w:r>
              <w:rPr>
                <w:rFonts w:hint="eastAsia"/>
              </w:rPr>
              <w:t>我对文章中不通顺的语句、错别字与标点进行了纠正</w:t>
            </w:r>
          </w:p>
        </w:tc>
        <w:tc>
          <w:tcPr>
            <w:tcW w:w="709" w:type="dxa"/>
          </w:tcPr>
          <w:p w14:paraId="6BF7453C">
            <w:pPr>
              <w:rPr>
                <w:rFonts w:hint="eastAsia" w:eastAsiaTheme="minorEastAsia"/>
                <w:lang w:val="en-US" w:eastAsia="zh-CN"/>
              </w:rPr>
            </w:pPr>
            <w:r>
              <w:rPr>
                <w:rFonts w:hint="eastAsia"/>
                <w:lang w:val="en-US" w:eastAsia="zh-CN"/>
              </w:rPr>
              <w:t>1</w:t>
            </w:r>
          </w:p>
        </w:tc>
        <w:tc>
          <w:tcPr>
            <w:tcW w:w="2693" w:type="dxa"/>
          </w:tcPr>
          <w:p w14:paraId="0827F7B3"/>
        </w:tc>
      </w:tr>
      <w:tr w14:paraId="339B6153">
        <w:tc>
          <w:tcPr>
            <w:tcW w:w="709" w:type="dxa"/>
          </w:tcPr>
          <w:p w14:paraId="4E3F1BAE">
            <w:r>
              <w:rPr>
                <w:rFonts w:hint="eastAsia"/>
              </w:rPr>
              <w:t>1</w:t>
            </w:r>
            <w:r>
              <w:t>1</w:t>
            </w:r>
          </w:p>
        </w:tc>
        <w:tc>
          <w:tcPr>
            <w:tcW w:w="5103" w:type="dxa"/>
          </w:tcPr>
          <w:p w14:paraId="1BCE96FB">
            <w:r>
              <w:rPr>
                <w:rFonts w:hint="eastAsia"/>
              </w:rPr>
              <w:t>我按照课程要求使用了规范的引用</w:t>
            </w:r>
          </w:p>
        </w:tc>
        <w:tc>
          <w:tcPr>
            <w:tcW w:w="709" w:type="dxa"/>
          </w:tcPr>
          <w:p w14:paraId="5F82DBD8">
            <w:pPr>
              <w:rPr>
                <w:rFonts w:hint="eastAsia" w:eastAsiaTheme="minorEastAsia"/>
                <w:lang w:val="en-US" w:eastAsia="zh-CN"/>
              </w:rPr>
            </w:pPr>
            <w:r>
              <w:rPr>
                <w:rFonts w:hint="eastAsia"/>
                <w:lang w:val="en-US" w:eastAsia="zh-CN"/>
              </w:rPr>
              <w:t>1</w:t>
            </w:r>
          </w:p>
        </w:tc>
        <w:tc>
          <w:tcPr>
            <w:tcW w:w="2693" w:type="dxa"/>
          </w:tcPr>
          <w:p w14:paraId="3A38E44E"/>
        </w:tc>
      </w:tr>
      <w:tr w14:paraId="78E8E266">
        <w:tc>
          <w:tcPr>
            <w:tcW w:w="709" w:type="dxa"/>
          </w:tcPr>
          <w:p w14:paraId="6977A06E">
            <w:r>
              <w:rPr>
                <w:rFonts w:hint="eastAsia"/>
              </w:rPr>
              <w:t>1</w:t>
            </w:r>
            <w:r>
              <w:t>2</w:t>
            </w:r>
          </w:p>
        </w:tc>
        <w:tc>
          <w:tcPr>
            <w:tcW w:w="5103" w:type="dxa"/>
          </w:tcPr>
          <w:p w14:paraId="257414A4">
            <w:r>
              <w:rPr>
                <w:rFonts w:hint="eastAsia"/>
              </w:rPr>
              <w:t>我按照课程要求修改了文章格式</w:t>
            </w:r>
          </w:p>
        </w:tc>
        <w:tc>
          <w:tcPr>
            <w:tcW w:w="709" w:type="dxa"/>
          </w:tcPr>
          <w:p w14:paraId="7148A008">
            <w:pPr>
              <w:rPr>
                <w:rFonts w:hint="eastAsia" w:eastAsiaTheme="minorEastAsia"/>
                <w:lang w:val="en-US" w:eastAsia="zh-CN"/>
              </w:rPr>
            </w:pPr>
            <w:r>
              <w:rPr>
                <w:rFonts w:hint="eastAsia"/>
                <w:lang w:val="en-US" w:eastAsia="zh-CN"/>
              </w:rPr>
              <w:t>1</w:t>
            </w:r>
          </w:p>
        </w:tc>
        <w:tc>
          <w:tcPr>
            <w:tcW w:w="2693" w:type="dxa"/>
          </w:tcPr>
          <w:p w14:paraId="0A30458D"/>
        </w:tc>
      </w:tr>
      <w:tr w14:paraId="57E60B10">
        <w:tc>
          <w:tcPr>
            <w:tcW w:w="709" w:type="dxa"/>
          </w:tcPr>
          <w:p w14:paraId="514436B6">
            <w:r>
              <w:rPr>
                <w:rFonts w:hint="eastAsia"/>
              </w:rPr>
              <w:t>1</w:t>
            </w:r>
            <w:r>
              <w:t>3</w:t>
            </w:r>
          </w:p>
        </w:tc>
        <w:tc>
          <w:tcPr>
            <w:tcW w:w="5103" w:type="dxa"/>
          </w:tcPr>
          <w:p w14:paraId="32FC4711">
            <w:r>
              <w:rPr>
                <w:rFonts w:hint="eastAsia"/>
              </w:rPr>
              <w:t>我的文章满足3</w:t>
            </w:r>
            <w:r>
              <w:t>000</w:t>
            </w:r>
            <w:r>
              <w:rPr>
                <w:rFonts w:hint="eastAsia"/>
              </w:rPr>
              <w:t>字要求</w:t>
            </w:r>
          </w:p>
        </w:tc>
        <w:tc>
          <w:tcPr>
            <w:tcW w:w="709" w:type="dxa"/>
          </w:tcPr>
          <w:p w14:paraId="133F16F1">
            <w:pPr>
              <w:rPr>
                <w:rFonts w:hint="eastAsia" w:eastAsiaTheme="minorEastAsia"/>
                <w:lang w:val="en-US" w:eastAsia="zh-CN"/>
              </w:rPr>
            </w:pPr>
            <w:r>
              <w:rPr>
                <w:rFonts w:hint="eastAsia"/>
                <w:lang w:val="en-US" w:eastAsia="zh-CN"/>
              </w:rPr>
              <w:t>1</w:t>
            </w:r>
          </w:p>
        </w:tc>
        <w:tc>
          <w:tcPr>
            <w:tcW w:w="2693" w:type="dxa"/>
          </w:tcPr>
          <w:p w14:paraId="765FE521"/>
        </w:tc>
      </w:tr>
      <w:tr w14:paraId="5343A4B1">
        <w:tc>
          <w:tcPr>
            <w:tcW w:w="709" w:type="dxa"/>
          </w:tcPr>
          <w:p w14:paraId="61E230A4">
            <w:r>
              <w:rPr>
                <w:rFonts w:hint="eastAsia"/>
              </w:rPr>
              <w:t>1</w:t>
            </w:r>
            <w:r>
              <w:t>4</w:t>
            </w:r>
          </w:p>
        </w:tc>
        <w:tc>
          <w:tcPr>
            <w:tcW w:w="5103" w:type="dxa"/>
          </w:tcPr>
          <w:p w14:paraId="4D361B34">
            <w:r>
              <w:rPr>
                <w:rFonts w:hint="eastAsia"/>
              </w:rPr>
              <w:t>我与至少一位同学分享了这篇文章并听取了他的反馈</w:t>
            </w:r>
          </w:p>
        </w:tc>
        <w:tc>
          <w:tcPr>
            <w:tcW w:w="709" w:type="dxa"/>
          </w:tcPr>
          <w:p w14:paraId="2FBE863D">
            <w:pPr>
              <w:rPr>
                <w:rFonts w:hint="eastAsia" w:eastAsiaTheme="minorEastAsia"/>
                <w:lang w:val="en-US" w:eastAsia="zh-CN"/>
              </w:rPr>
            </w:pPr>
            <w:r>
              <w:rPr>
                <w:rFonts w:hint="eastAsia"/>
                <w:lang w:val="en-US" w:eastAsia="zh-CN"/>
              </w:rPr>
              <w:t>1</w:t>
            </w:r>
          </w:p>
        </w:tc>
        <w:tc>
          <w:tcPr>
            <w:tcW w:w="2693" w:type="dxa"/>
          </w:tcPr>
          <w:p w14:paraId="3B309EAA"/>
        </w:tc>
      </w:tr>
      <w:tr w14:paraId="50605AA5">
        <w:tc>
          <w:tcPr>
            <w:tcW w:w="709" w:type="dxa"/>
          </w:tcPr>
          <w:p w14:paraId="07749B24">
            <w:r>
              <w:rPr>
                <w:rFonts w:hint="eastAsia"/>
              </w:rPr>
              <w:t>1</w:t>
            </w:r>
            <w:r>
              <w:t>5</w:t>
            </w:r>
          </w:p>
        </w:tc>
        <w:tc>
          <w:tcPr>
            <w:tcW w:w="5103" w:type="dxa"/>
          </w:tcPr>
          <w:p w14:paraId="1F70593F">
            <w:r>
              <w:rPr>
                <w:rFonts w:hint="eastAsia"/>
              </w:rPr>
              <w:t>我为撰写这篇文章付出了努力，并为自己感到骄傲</w:t>
            </w:r>
          </w:p>
        </w:tc>
        <w:tc>
          <w:tcPr>
            <w:tcW w:w="709" w:type="dxa"/>
          </w:tcPr>
          <w:p w14:paraId="341C7CF6">
            <w:pPr>
              <w:rPr>
                <w:rFonts w:hint="eastAsia" w:eastAsiaTheme="minorEastAsia"/>
                <w:lang w:val="en-US" w:eastAsia="zh-CN"/>
              </w:rPr>
            </w:pPr>
            <w:r>
              <w:rPr>
                <w:rFonts w:hint="eastAsia"/>
                <w:lang w:val="en-US" w:eastAsia="zh-CN"/>
              </w:rPr>
              <w:t>1</w:t>
            </w:r>
          </w:p>
        </w:tc>
        <w:tc>
          <w:tcPr>
            <w:tcW w:w="2693" w:type="dxa"/>
          </w:tcPr>
          <w:p w14:paraId="43F2B040"/>
        </w:tc>
      </w:tr>
      <w:tr w14:paraId="072A9924">
        <w:trPr>
          <w:trHeight w:val="679" w:hRule="atLeast"/>
        </w:trPr>
        <w:tc>
          <w:tcPr>
            <w:tcW w:w="5812" w:type="dxa"/>
            <w:gridSpan w:val="2"/>
          </w:tcPr>
          <w:p w14:paraId="3CBCCE63">
            <w:r>
              <w:rPr>
                <w:rFonts w:hint="eastAsia"/>
              </w:rPr>
              <w:t>自评总分</w:t>
            </w:r>
          </w:p>
        </w:tc>
        <w:tc>
          <w:tcPr>
            <w:tcW w:w="709" w:type="dxa"/>
          </w:tcPr>
          <w:p w14:paraId="32469278">
            <w:pPr>
              <w:rPr>
                <w:rFonts w:hint="default" w:eastAsiaTheme="minorEastAsia"/>
                <w:lang w:val="en-US" w:eastAsia="zh-CN"/>
              </w:rPr>
            </w:pPr>
            <w:r>
              <w:rPr>
                <w:rFonts w:hint="eastAsia"/>
                <w:lang w:val="en-US" w:eastAsia="zh-CN"/>
              </w:rPr>
              <w:t>15</w:t>
            </w:r>
          </w:p>
        </w:tc>
        <w:tc>
          <w:tcPr>
            <w:tcW w:w="2693" w:type="dxa"/>
          </w:tcPr>
          <w:p w14:paraId="586DCBA7"/>
        </w:tc>
      </w:tr>
    </w:tbl>
    <w:p w14:paraId="03EB0101"/>
    <w:p w14:paraId="1943C168"/>
    <w:p w14:paraId="53C417E5">
      <w:pPr>
        <w:pStyle w:val="6"/>
      </w:pPr>
      <w:bookmarkStart w:id="3" w:name="_GoBack"/>
      <w:bookmarkEnd w:id="3"/>
      <w:r>
        <w:rPr>
          <w:rFonts w:hint="eastAsia"/>
        </w:rPr>
        <w:t>暴力与对抗：探究《哈利·波特》世界观中的暴力组织</w:t>
      </w:r>
    </w:p>
    <w:p w14:paraId="3CA54992">
      <w:pPr>
        <w:pStyle w:val="7"/>
      </w:pPr>
      <w:r>
        <w:rPr>
          <w:rFonts w:hint="eastAsia"/>
        </w:rPr>
        <w:t>郭嘉乐</w:t>
      </w:r>
      <w:r>
        <w:t>　2025013332　gjl25@mails.tsinghua.edu.cn</w:t>
      </w:r>
    </w:p>
    <w:p w14:paraId="781D7130">
      <w:pPr>
        <w:pStyle w:val="2"/>
      </w:pPr>
      <w:bookmarkStart w:id="0" w:name="幻想世界中的暴力"/>
      <w:r>
        <w:rPr>
          <w:rFonts w:hint="eastAsia"/>
        </w:rPr>
        <w:t>幻想世界中的暴力</w:t>
      </w:r>
    </w:p>
    <w:p w14:paraId="1CC0B66C">
      <w:r>
        <w:rPr>
          <w:rFonts w:hint="eastAsia"/>
        </w:rPr>
        <w:t>《哈利·波特》作为一本主要面向青少年的魔幻题材小说，在前四部曲中，主人公们依靠自己的聪明才智与黑魔法势力斗智斗勇，虽然多有艰险，但还是能基本依仗着少年们无知无畏的个人英雄主义和邓布利多等人的背后支持解决问题。然而即使在魔法世界，这样的和谐也并非亘古不变。从第三部阿兹卡班与摄魂怪正式登场，到第四部魔法部官员们的百态显现，其实早已预兆了小说正在走向充满矛盾、冲突、暴力的成人世界。从第五部开始，暴力、反抗便成为了小说的重要组成部分，这其中无疑融入了作者对现实世界暴力事件、暴力组织</w:t>
      </w:r>
      <w:r>
        <w:rPr>
          <w:rFonts w:hint="eastAsia"/>
          <w:lang w:val="en-US" w:eastAsia="zh-CN"/>
        </w:rPr>
        <w:t>的</w:t>
      </w:r>
      <w:r>
        <w:rPr>
          <w:rFonts w:hint="eastAsia"/>
        </w:rPr>
        <w:t>深刻反思，也值得我们深入探究。</w:t>
      </w:r>
    </w:p>
    <w:p w14:paraId="08D27222">
      <w:r>
        <w:rPr>
          <w:rFonts w:hint="eastAsia"/>
        </w:rPr>
        <w:t>通过对小说及其衍生作品的通读，我们大致可以将小说中的暴力组织分为两类：官方暴力机关和地下暴力组织。官方暴力机关主要包括魔法部魔法法律执行司、威森加摩、阿兹卡班监狱等，而地下暴力组织则包括邓布利多领导的凤凰社等多个地下抵抗组织、哈利·波特及其朋友领导的邓布利多军等，以及如食死徒等黑魔法暴力组织。不难发现，作者在创作此类内容时，往往将现实世界中的暴力组织作为原型，使得魔法世界中暴力组织的对抗故事在读者看来分外眼熟。</w:t>
      </w:r>
    </w:p>
    <w:p w14:paraId="143E5507">
      <w:r>
        <w:rPr>
          <w:rFonts w:hint="eastAsia"/>
        </w:rPr>
        <w:t>虽然在类型上与现实世界有相似之处，但作为一部魔幻题材小说，《哈利·波特》中的暴力组织在目的、组织架构、行为准则、彼此关系上又颇具特色，不能单纯以现实世界中的暴力组织来概括，应当视作作者结合了现代社会暴力组织和古代祭祀仪式、盟誓契约的传统关系的二次创作。如邓布利多军的告密者惩罚和凤凰社中赤胆忠心咒的特殊机制，都需要结合小说背景和魔法世界中的魔法知识来理解。</w:t>
      </w:r>
    </w:p>
    <w:p w14:paraId="42A38863">
      <w:r>
        <w:rPr>
          <w:rFonts w:hint="eastAsia"/>
        </w:rPr>
        <w:t>无论作者对书中的暴力组织进行了怎样的刻画，其目的无疑都是为了推动故事情节发展并表达作者自己的观点。为此，我们便需要考虑作者本人的早年复杂的生活经验等背景内容，方能对书中的暴力组织行为有更深刻的批判性理解。那么，我们应该怎样理解魔法世界中暴力组织的诞生与演变？他们与现实世界暴力组织之间会产生怎样的投射？我们从中又能获取哪些启发？</w:t>
      </w:r>
    </w:p>
    <w:bookmarkEnd w:id="0"/>
    <w:p w14:paraId="721313C7">
      <w:pPr>
        <w:pStyle w:val="2"/>
      </w:pPr>
      <w:bookmarkStart w:id="1" w:name="公共权力的诞生魔法世界的暴力机关"/>
      <w:r>
        <w:rPr>
          <w:rFonts w:hint="eastAsia"/>
        </w:rPr>
        <w:t>公共权力的诞生：魔法世界的暴力机关</w:t>
      </w:r>
    </w:p>
    <w:p w14:paraId="3D71C793">
      <w:r>
        <w:rPr>
          <w:rFonts w:hint="eastAsia"/>
        </w:rPr>
        <w:t>我们在小说中首先认识到的无疑是以魔法部魔法法律执行司为代表的官方暴力机关，其来源便是魔法社会的公共权力的创立。根据恩格斯的《家庭、私有制和国家的起源》</w:t>
      </w:r>
      <w:r>
        <w:rPr>
          <w:rStyle w:val="13"/>
        </w:rPr>
        <w:footnoteReference w:id="0"/>
      </w:r>
      <w:r>
        <w:rPr>
          <w:rFonts w:hint="eastAsia"/>
        </w:rPr>
        <w:t>对公共权力的定义，公共权力即特权阶级所有的武装集团及其物质附属物，如监狱、其他强制场所，这在后来演变为了我们熟知的国家暴力机关的定义：军队、</w:t>
      </w:r>
      <w:r>
        <w:t xml:space="preserve"> </w:t>
      </w:r>
      <w:r>
        <w:rPr>
          <w:rFonts w:hint="eastAsia"/>
        </w:rPr>
        <w:t>警察、监狱（惩戒机构）、法院（司法系统）。</w:t>
      </w:r>
    </w:p>
    <w:p w14:paraId="436367F2">
      <w:r>
        <w:rPr>
          <w:rFonts w:hint="eastAsia"/>
        </w:rPr>
        <w:t>类比到魔法社会，魔法法律执行司旗下的傲罗办公室便是一个符合该定义的机构：他们由经历魔法社会层层筛选出的精英统治阶级组成，对魔法社会的稳定进行维护，必要时动用暴力手段维护治安，和学理意义上的警察概念相符。除此之外，威森加摩可与法院相对应，阿兹卡班与监狱对应。由此可见，在表面意义上，魔法世界拥有一套较为完善、与现实世界相契合的官方暴力机关。</w:t>
      </w:r>
    </w:p>
    <w:p w14:paraId="3ABEA59F">
      <w:r>
        <w:rPr>
          <w:rFonts w:hint="eastAsia"/>
        </w:rPr>
        <w:t>然而熟读小说的读者都知道上面的描述并不准确——实际上，魔法世界的暴力机关的混乱程度令人无比抓狂。魔法部同时拥有最高的立法权、执法权，以及接近无限的法律解释权，并且在威森加摩中占有重要席位，可以说一部揽三权，实际上造成了魔法部拥有着堪称独裁机构般的无限制权力，其手中的暴力在名义上毫无限制，是一种接近初级国家阶段的无监督暴力</w:t>
      </w:r>
      <w:r>
        <w:rPr>
          <w:rStyle w:val="13"/>
        </w:rPr>
        <w:footnoteReference w:id="1"/>
      </w:r>
      <w:r>
        <w:rPr>
          <w:rFonts w:hint="eastAsia"/>
        </w:rPr>
        <w:t>。如在小说第四部中所说，当面对黑魔法势力的威胁时，巴蒂·克劳奇为代表的魔法部强硬派没有经过任何限制、选举和讨论便可以直接采用最极端的刑讯逼供手段进行无差别的严厉打击，实际上和黑魔法势力其残酷程度不相上下</w:t>
      </w:r>
      <w:r>
        <w:rPr>
          <w:rStyle w:val="13"/>
        </w:rPr>
        <w:footnoteReference w:id="2"/>
      </w:r>
      <w:r>
        <w:rPr>
          <w:rFonts w:hint="eastAsia"/>
        </w:rPr>
        <w:t>。当现代社会的公共权力回归到法制残缺时期的酷刑政治，将惩罚对象回归到肉体而非灵魂的改造时</w:t>
      </w:r>
      <w:r>
        <w:rPr>
          <w:rStyle w:val="13"/>
        </w:rPr>
        <w:footnoteReference w:id="3"/>
      </w:r>
      <w:r>
        <w:rPr>
          <w:rFonts w:hint="eastAsia"/>
        </w:rPr>
        <w:t>，我们很难认为魔法部及其附属机构这一套极端脆弱的暴力机关能有怎样的正常而符合社会要求的约束力。然而，从某种意义上来说，这其实是作者刻意进行的夸张刻画，目的便是为后续魔法部权力的膨胀、其对手中暴力的无限制滥用和被黑魔法势力入侵后的严重后果埋下伏笔。</w:t>
      </w:r>
    </w:p>
    <w:p w14:paraId="79CDE947">
      <w:r>
        <w:rPr>
          <w:rFonts w:hint="eastAsia"/>
        </w:rPr>
        <w:t>从名义上来说，上述机关存在的目的即是为了维护魔法法律的执行，从而维护魔法社会正常运转。从表面上看，他们完成的并不那么尽如人意。不同于达米安·布利多诺对于《哈利·波特》中学院、议会制度及平等关系的论述</w:t>
      </w:r>
      <w:r>
        <w:rPr>
          <w:rStyle w:val="13"/>
        </w:rPr>
        <w:footnoteReference w:id="4"/>
      </w:r>
      <w:r>
        <w:rPr>
          <w:rFonts w:hint="eastAsia"/>
        </w:rPr>
        <w:t>，我更倾向于同意《哈利·波特中的政治学》一书中对这些暴力机关人员的相关论述：“百分之百的官僚机构。那里根本看不出有什么行政或立法部门，也没有选举。虽然有某种司法功能……根本无法对政府行为作出独立制约”</w:t>
      </w:r>
      <w:r>
        <w:rPr>
          <w:rStyle w:val="13"/>
        </w:rPr>
        <w:footnoteReference w:id="5"/>
      </w:r>
      <w:r>
        <w:t>。</w:t>
      </w:r>
    </w:p>
    <w:p w14:paraId="005678DC">
      <w:r>
        <w:rPr>
          <w:rFonts w:hint="eastAsia"/>
        </w:rPr>
        <w:t>投射到现实社会中，我们可以认为这些暴力机关是作者借魔法世界的壳创作的《是，大臣》类的讽刺产物。通过刻画这样一个极度夸张的、结构混乱的、丑态百出的暴力机关混合物，来影射现实政治中实际存在的丑态、敲响警钟。同时，她通过如金斯莱、唐克斯等人物的刻画，表明在这样混乱的暴力机关中也有人坚守正义底线与初心，也体现出她并未失去对现有体制的信心，并对现有机制的改革充满希望。</w:t>
      </w:r>
    </w:p>
    <w:bookmarkEnd w:id="1"/>
    <w:p w14:paraId="211C433A">
      <w:pPr>
        <w:pStyle w:val="2"/>
      </w:pPr>
      <w:bookmarkStart w:id="2" w:name="地下暴力组织的涌动并不稳定的魔法社会"/>
      <w:r>
        <w:rPr>
          <w:rFonts w:hint="eastAsia"/>
        </w:rPr>
        <w:t>地下暴力组织的涌动：并不稳定的魔法社会</w:t>
      </w:r>
    </w:p>
    <w:p w14:paraId="144EFAE0">
      <w:r>
        <w:rPr>
          <w:rFonts w:hint="eastAsia"/>
        </w:rPr>
        <w:t>相比于冗杂的官方暴力机关，小说中更吸引读者的无疑还是众多的地下暴力组织。如果了解过《哈利·波特》的整体世界观，便一定会有一个深刻的印象：在这个魔法世界里，拥有暴力“武装”的地下结社、组织层出不穷，无论是出于爱好、黑魔法还是黑魔法防御的目的，此类组织都数不胜数，并且很多甚至抛头露面、在公开场合大肆活动，二这种现象在我们的“麻瓜”世界可以说是不敢想象的——至少在世界上大多数国家，没有几个是能容忍多如牛毛的暴力组织肆意妄为的。</w:t>
      </w:r>
    </w:p>
    <w:p w14:paraId="4ED77F7A">
      <w:r>
        <w:rPr>
          <w:rFonts w:hint="eastAsia"/>
        </w:rPr>
        <w:t>魔法世界之所以能诞生这种独特的现象，究其本质还是魔法的特殊性质：作为一种正常世界规律无法解释的神秘现象，任何掌握魔法的巫师天生就具有强大的改造、控制与破坏能力，这种能力不像麻瓜们的枪支武器一样可以随意控制，加上官方暴力机关本来就效率低下、难以约束，致使只要巫师以“决斗”“防御术研究”等看似人畜无害的名义，结社便有了潜在的暴力组织特质。</w:t>
      </w:r>
    </w:p>
    <w:p w14:paraId="6030C18D">
      <w:r>
        <w:rPr>
          <w:rFonts w:hint="eastAsia"/>
        </w:rPr>
        <w:t>一个有趣的例子便是：霍格沃茨学校本身算不算一个巨大的暴力组织？这个观点首先是由前魔法部部长康奈利·福吉先生提出的。在小说第五部中，哈利和朋友们秘密组建的黑魔法防御学习小组（本身也算小型地下暴力组织）被乌姆里奇发现之后，福吉看到“邓布利多军”的横幅之后，直接判定邓布利多正在将整个霍格沃茨变成一个巨大的、用于对抗魔法部的练兵场</w:t>
      </w:r>
      <w:r>
        <w:rPr>
          <w:rStyle w:val="13"/>
        </w:rPr>
        <w:footnoteReference w:id="6"/>
      </w:r>
      <w:r>
        <w:rPr>
          <w:rFonts w:hint="eastAsia"/>
        </w:rPr>
        <w:t>；实际上，在第四部结尾也已经有福吉先生类似的表述出现。虽然福吉此时提出这个观点的目的是为了打倒邓布利多，但是从客观的角度讲，霍格沃茨确实一直“不是省油的灯”。霍格沃茨从始至终都对魔法部的相关法令表现出一定程度的抗拒——无论是在和平还是战争时期都是如此；他们确实在培养学生的决斗能力，在一段时期内（甚至可以考虑洛哈特时期）允许学生参与决斗；他们拥有堪称独立王国般的高度自治权，很多时候甚至可以称为邓布利多的“一言堂”，学生会、院长、校董会和魔法部、威森加摩甚至国际巫师联合会都在邓布利多的个人权威面前噤声，或者稍有反对终将被证明他们的错误。虽然这其中有大量作者的艺术加工，但是也使得霍格沃茨似乎超越了教书育人的学校的身份，成为了一个和魔法部分庭抗礼的独立准暴力组织。</w:t>
      </w:r>
    </w:p>
    <w:p w14:paraId="1156B387">
      <w:r>
        <w:rPr>
          <w:rFonts w:hint="eastAsia"/>
        </w:rPr>
        <w:t>在霍格沃茨之外，也不乏这样的魔法部很难管控的暴力组织，其中邓布利多又是其中多数组织的主要策划者。在第一次世界大战期间，为了对抗格林德沃，邓布利多便创立了凤凰社的雏形；在后来对抗伏地魔时，他又在不同国家创立大大小小多个抵抗组织。他的爱徒哈利显然也从中学到了组织和管理的重要经验，使得邓布利多军在后期成为了地位接近凤凰社的举足轻重的反抗组织。从这个角度看，地下暴力组织的蓬勃发展除去作者对邓布利多与哈利个人魅力的艺术性刻画，很大程度上其实也是官方暴力机关的不作为、乱作为引发的生态位空缺，使得必须有类似的地下组织填补相关领域治理的空白。如此，读者也能从中体会到一种混乱中重新建构的秩序感。在小说的结尾，罗琳让金斯莱成为魔法部部长，这也表明实际上她并不反对官方暴力机关，而是表达了她对官方暴力机关正规化、专业化的诉求，这也与二十世纪末二十一世纪初的普通民众诉求多相契合。</w:t>
      </w:r>
    </w:p>
    <w:p w14:paraId="1AFCDB59">
      <w:r>
        <w:rPr>
          <w:rFonts w:hint="eastAsia"/>
        </w:rPr>
        <w:t>从古老的巫师议会到现代的逐渐改革的魔法部，从凤凰社到邓布利多军，魔法世界中官方暴力机关和地下暴力组织的螺旋式发展，同样折射出现实世界的制度的完善与进步，以及人们对稳定、和谐社会的朴素追求。期望麻瓜世界和魔法世界能够共同进步，最终走向人人高度自觉的先进社会，不辜负这番追求。</w:t>
      </w:r>
    </w:p>
    <w:bookmarkEnd w:id="2"/>
    <w:sectPr>
      <w:footnotePr>
        <w:numRestart w:val="eachPage"/>
      </w:footnotePr>
      <w:pgSz w:w="11906" w:h="16838"/>
      <w:pgMar w:top="1440" w:right="1800" w:bottom="1440" w:left="180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楷体">
    <w:altName w:val="汉仪楷体KW"/>
    <w:panose1 w:val="00000000000000000000"/>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4">
    <w:p>
      <w:pPr>
        <w:spacing w:line="360" w:lineRule="auto"/>
      </w:pPr>
      <w:r>
        <w:separator/>
      </w:r>
    </w:p>
  </w:footnote>
  <w:footnote w:type="continuationSeparator" w:id="15">
    <w:p>
      <w:pPr>
        <w:spacing w:line="360" w:lineRule="auto"/>
      </w:pPr>
      <w:r>
        <w:continuationSeparator/>
      </w:r>
    </w:p>
  </w:footnote>
  <w:footnote w:id="0">
    <w:p w14:paraId="6B35269E">
      <w:pPr>
        <w:pStyle w:val="5"/>
      </w:pPr>
      <w:r>
        <w:rPr>
          <w:rStyle w:val="13"/>
        </w:rPr>
        <w:footnoteRef/>
      </w:r>
      <w:r>
        <w:t xml:space="preserve"> </w:t>
      </w:r>
      <w:r>
        <w:rPr>
          <w:rFonts w:hint="eastAsia"/>
        </w:rPr>
        <w:t>恩格斯：《家庭、私有制和国家的起源》，中共中央马克思恩格斯列宁斯大林著作编译局编译，北京：人民出版社，2018年，第189页</w:t>
      </w:r>
    </w:p>
  </w:footnote>
  <w:footnote w:id="1">
    <w:p w14:paraId="4191E257">
      <w:pPr>
        <w:pStyle w:val="5"/>
      </w:pPr>
      <w:r>
        <w:rPr>
          <w:rStyle w:val="13"/>
        </w:rPr>
        <w:footnoteRef/>
      </w:r>
      <w:r>
        <w:t xml:space="preserve"> </w:t>
      </w:r>
      <w:r>
        <w:rPr>
          <w:rFonts w:hint="eastAsia"/>
        </w:rPr>
        <w:t>恩格斯：《家庭、私有制和国家的起源》，中共中央马克思恩格斯列宁斯大林著作编译局编译，北京：人民出版社，2018年，第190页</w:t>
      </w:r>
    </w:p>
  </w:footnote>
  <w:footnote w:id="2">
    <w:p w14:paraId="206B2108">
      <w:pPr>
        <w:pStyle w:val="5"/>
      </w:pPr>
      <w:r>
        <w:rPr>
          <w:rStyle w:val="13"/>
        </w:rPr>
        <w:footnoteRef/>
      </w:r>
      <w:r>
        <w:t xml:space="preserve"> J. K. </w:t>
      </w:r>
      <w:r>
        <w:rPr>
          <w:rFonts w:hint="eastAsia"/>
        </w:rPr>
        <w:t>罗琳：《哈利·波特与火焰杯》，马爱新译，北京：人民文学出版社，2014年，第381页</w:t>
      </w:r>
    </w:p>
  </w:footnote>
  <w:footnote w:id="3">
    <w:p w14:paraId="627CFB8F">
      <w:pPr>
        <w:pStyle w:val="5"/>
      </w:pPr>
      <w:r>
        <w:rPr>
          <w:rStyle w:val="13"/>
        </w:rPr>
        <w:footnoteRef/>
      </w:r>
      <w:r>
        <w:t xml:space="preserve"> </w:t>
      </w:r>
      <w:r>
        <w:rPr>
          <w:rFonts w:hint="eastAsia"/>
        </w:rPr>
        <w:t>米歇尔·福柯：《规训与惩罚》，刘北成等译，北京：生活·读书·新知·三联书店，2012年，第17页</w:t>
      </w:r>
    </w:p>
  </w:footnote>
  <w:footnote w:id="4">
    <w:p w14:paraId="71C57D57">
      <w:pPr>
        <w:pStyle w:val="5"/>
      </w:pPr>
      <w:r>
        <w:rPr>
          <w:rStyle w:val="13"/>
        </w:rPr>
        <w:footnoteRef/>
      </w:r>
      <w:r>
        <w:t xml:space="preserve"> </w:t>
      </w:r>
      <w:r>
        <w:rPr>
          <w:rFonts w:hint="eastAsia"/>
        </w:rPr>
        <w:t>达米安·布利多诺：《哈利·波特与历史》，赵飒译，中译出版社，2022年，第54页</w:t>
      </w:r>
    </w:p>
  </w:footnote>
  <w:footnote w:id="5">
    <w:p w14:paraId="510874EE">
      <w:pPr>
        <w:pStyle w:val="5"/>
      </w:pPr>
      <w:r>
        <w:rPr>
          <w:rStyle w:val="13"/>
        </w:rPr>
        <w:footnoteRef/>
      </w:r>
      <w:r>
        <w:t xml:space="preserve"> </w:t>
      </w:r>
      <w:r>
        <w:rPr>
          <w:rFonts w:hint="eastAsia"/>
        </w:rPr>
        <w:t>贝瑟尼·巴拉特：《哈利·波特中的政治学》，朱晔，姜睿译，北京：中国财政经济出版社，2015年，第20页</w:t>
      </w:r>
    </w:p>
  </w:footnote>
  <w:footnote w:id="6">
    <w:p w14:paraId="698B6C52">
      <w:pPr>
        <w:pStyle w:val="5"/>
      </w:pPr>
      <w:r>
        <w:rPr>
          <w:rStyle w:val="13"/>
        </w:rPr>
        <w:footnoteRef/>
      </w:r>
      <w:r>
        <w:t xml:space="preserve"> J. K. </w:t>
      </w:r>
      <w:r>
        <w:rPr>
          <w:rFonts w:hint="eastAsia"/>
        </w:rPr>
        <w:t>罗琳：《哈利·波特与凤凰社》，马爱农，马爱新译，北京：人民文学出版社，2018年，第478页</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isplayBackgroundShape w:val="1"/>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Page"/>
    <w:footnote w:id="14"/>
    <w:footnote w:id="15"/>
  </w:footnotePr>
  <w:endnotePr>
    <w:endnote w:id="0"/>
    <w:endnote w:id="1"/>
  </w:endnotePr>
  <w:compat>
    <w:useFELayout/>
    <w:compatSetting w:name="compatibilityMode" w:uri="http://schemas.microsoft.com/office/word" w:val="15"/>
  </w:compat>
  <w:rsids>
    <w:rsidRoot w:val="00000000"/>
    <w:rsid w:val="5F2E3B86"/>
    <w:rsid w:val="F87FB0A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360" w:lineRule="auto"/>
      <w:ind w:firstLine="420"/>
    </w:pPr>
    <w:rPr>
      <w:rFonts w:ascii="Times New Roman" w:hAnsi="Times New Roman" w:eastAsia="宋体" w:cs="Times New Roman"/>
      <w:sz w:val="21"/>
      <w:szCs w:val="21"/>
      <w:lang w:eastAsia="zh-CN"/>
    </w:rPr>
  </w:style>
  <w:style w:type="paragraph" w:styleId="2">
    <w:name w:val="heading 1"/>
    <w:basedOn w:val="1"/>
    <w:next w:val="1"/>
    <w:qFormat/>
    <w:uiPriority w:val="0"/>
    <w:pPr>
      <w:spacing w:line="360" w:lineRule="auto"/>
      <w:ind w:firstLine="0"/>
      <w:jc w:val="center"/>
      <w:outlineLvl w:val="0"/>
    </w:pPr>
    <w:rPr>
      <w:rFonts w:ascii="Arial" w:hAnsi="Arial" w:eastAsia="黑体"/>
      <w:sz w:val="21"/>
      <w:szCs w:val="21"/>
    </w:rPr>
  </w:style>
  <w:style w:type="paragraph" w:styleId="3">
    <w:name w:val="heading 2"/>
    <w:basedOn w:val="1"/>
    <w:next w:val="1"/>
    <w:qFormat/>
    <w:uiPriority w:val="0"/>
    <w:pPr>
      <w:spacing w:line="360" w:lineRule="auto"/>
      <w:ind w:firstLine="0"/>
      <w:jc w:val="center"/>
      <w:outlineLvl w:val="1"/>
    </w:pPr>
    <w:rPr>
      <w:rFonts w:ascii="Arial" w:hAnsi="Arial" w:eastAsia="黑体"/>
      <w:sz w:val="21"/>
      <w:szCs w:val="21"/>
    </w:rPr>
  </w:style>
  <w:style w:type="character" w:default="1" w:styleId="10">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4">
    <w:name w:val="caption"/>
    <w:basedOn w:val="1"/>
    <w:qFormat/>
    <w:uiPriority w:val="0"/>
    <w:pPr>
      <w:spacing w:line="360" w:lineRule="auto"/>
      <w:ind w:firstLine="0"/>
      <w:jc w:val="center"/>
    </w:pPr>
    <w:rPr>
      <w:rFonts w:ascii="Times New Roman" w:hAnsi="Times New Roman" w:eastAsia="宋体"/>
      <w:sz w:val="21"/>
      <w:szCs w:val="21"/>
    </w:rPr>
  </w:style>
  <w:style w:type="paragraph" w:styleId="5">
    <w:name w:val="footnote text"/>
    <w:basedOn w:val="1"/>
    <w:semiHidden/>
    <w:unhideWhenUsed/>
    <w:uiPriority w:val="0"/>
    <w:pPr>
      <w:spacing w:line="240" w:lineRule="auto"/>
      <w:ind w:firstLine="0"/>
    </w:pPr>
    <w:rPr>
      <w:rFonts w:ascii="Times New Roman" w:hAnsi="Times New Roman" w:eastAsia="宋体"/>
      <w:sz w:val="18"/>
      <w:szCs w:val="18"/>
    </w:rPr>
  </w:style>
  <w:style w:type="paragraph" w:styleId="6">
    <w:name w:val="Title"/>
    <w:basedOn w:val="1"/>
    <w:next w:val="7"/>
    <w:qFormat/>
    <w:uiPriority w:val="0"/>
    <w:pPr>
      <w:spacing w:line="360" w:lineRule="auto"/>
      <w:ind w:firstLine="0"/>
      <w:jc w:val="center"/>
    </w:pPr>
    <w:rPr>
      <w:rFonts w:ascii="Arial" w:hAnsi="Arial" w:eastAsia="黑体"/>
      <w:b/>
      <w:sz w:val="28"/>
      <w:szCs w:val="28"/>
    </w:rPr>
  </w:style>
  <w:style w:type="paragraph" w:customStyle="1" w:styleId="7">
    <w:name w:val="Author"/>
    <w:basedOn w:val="1"/>
    <w:next w:val="1"/>
    <w:uiPriority w:val="0"/>
    <w:pPr>
      <w:spacing w:line="360" w:lineRule="auto"/>
      <w:ind w:firstLine="0"/>
      <w:jc w:val="center"/>
    </w:pPr>
    <w:rPr>
      <w:rFonts w:ascii="Times New Roman" w:hAnsi="Times New Roman" w:eastAsia="楷体"/>
      <w:sz w:val="21"/>
      <w:szCs w:val="21"/>
    </w:rPr>
  </w:style>
  <w:style w:type="table" w:styleId="9">
    <w:name w:val="Table Grid"/>
    <w:basedOn w:val="8"/>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0"/>
    <w:rPr>
      <w:b/>
      <w:bCs/>
    </w:rPr>
  </w:style>
  <w:style w:type="character" w:styleId="12">
    <w:name w:val="Hyperlink"/>
    <w:unhideWhenUsed/>
    <w:uiPriority w:val="99"/>
    <w:rPr>
      <w:color w:val="0563C1"/>
      <w:u w:val="single"/>
    </w:rPr>
  </w:style>
  <w:style w:type="character" w:styleId="13">
    <w:name w:val="footnote reference"/>
    <w:semiHidden/>
    <w:unhideWhenUsed/>
    <w:uiPriority w:val="0"/>
    <w:rPr>
      <w:vertAlign w:val="superscript"/>
    </w:rPr>
  </w:style>
  <w:style w:type="paragraph" w:customStyle="1" w:styleId="14">
    <w:name w:val="Source Code"/>
    <w:basedOn w:val="1"/>
    <w:uiPriority w:val="0"/>
    <w:pPr>
      <w:wordWrap w:val="0"/>
    </w:pPr>
  </w:style>
  <w:style w:type="character" w:customStyle="1" w:styleId="15">
    <w:name w:val="KeywordTok"/>
    <w:uiPriority w:val="0"/>
    <w:rPr>
      <w:b/>
      <w:color w:val="007020"/>
    </w:rPr>
  </w:style>
  <w:style w:type="character" w:customStyle="1" w:styleId="16">
    <w:name w:val="DataTypeTok"/>
    <w:uiPriority w:val="0"/>
    <w:rPr>
      <w:color w:val="902000"/>
    </w:rPr>
  </w:style>
  <w:style w:type="character" w:customStyle="1" w:styleId="17">
    <w:name w:val="DecValTok"/>
    <w:uiPriority w:val="0"/>
    <w:rPr>
      <w:color w:val="40A070"/>
    </w:rPr>
  </w:style>
  <w:style w:type="character" w:customStyle="1" w:styleId="18">
    <w:name w:val="BaseNTok"/>
    <w:uiPriority w:val="0"/>
    <w:rPr>
      <w:color w:val="40A070"/>
    </w:rPr>
  </w:style>
  <w:style w:type="character" w:customStyle="1" w:styleId="19">
    <w:name w:val="FloatTok"/>
    <w:uiPriority w:val="0"/>
    <w:rPr>
      <w:color w:val="40A070"/>
    </w:rPr>
  </w:style>
  <w:style w:type="character" w:customStyle="1" w:styleId="20">
    <w:name w:val="ConstantTok"/>
    <w:uiPriority w:val="0"/>
    <w:rPr>
      <w:color w:val="880000"/>
    </w:rPr>
  </w:style>
  <w:style w:type="character" w:customStyle="1" w:styleId="21">
    <w:name w:val="CharTok"/>
    <w:uiPriority w:val="0"/>
    <w:rPr>
      <w:color w:val="4070A0"/>
    </w:rPr>
  </w:style>
  <w:style w:type="character" w:customStyle="1" w:styleId="22">
    <w:name w:val="SpecialCharTok"/>
    <w:uiPriority w:val="0"/>
    <w:rPr>
      <w:color w:val="4070A0"/>
    </w:rPr>
  </w:style>
  <w:style w:type="character" w:customStyle="1" w:styleId="23">
    <w:name w:val="StringTok"/>
    <w:uiPriority w:val="0"/>
    <w:rPr>
      <w:color w:val="4070A0"/>
    </w:rPr>
  </w:style>
  <w:style w:type="character" w:customStyle="1" w:styleId="24">
    <w:name w:val="VerbatimStringTok"/>
    <w:uiPriority w:val="0"/>
    <w:rPr>
      <w:color w:val="4070A0"/>
    </w:rPr>
  </w:style>
  <w:style w:type="character" w:customStyle="1" w:styleId="25">
    <w:name w:val="SpecialStringTok"/>
    <w:uiPriority w:val="0"/>
    <w:rPr>
      <w:color w:val="BB6688"/>
    </w:rPr>
  </w:style>
  <w:style w:type="character" w:customStyle="1" w:styleId="26">
    <w:name w:val="ImportTok"/>
    <w:uiPriority w:val="0"/>
    <w:rPr>
      <w:b/>
      <w:color w:val="008000"/>
    </w:rPr>
  </w:style>
  <w:style w:type="character" w:customStyle="1" w:styleId="27">
    <w:name w:val="CommentTok"/>
    <w:uiPriority w:val="0"/>
    <w:rPr>
      <w:i/>
      <w:color w:val="60A0B0"/>
    </w:rPr>
  </w:style>
  <w:style w:type="character" w:customStyle="1" w:styleId="28">
    <w:name w:val="DocumentationTok"/>
    <w:uiPriority w:val="0"/>
    <w:rPr>
      <w:i/>
      <w:color w:val="BA2121"/>
    </w:rPr>
  </w:style>
  <w:style w:type="character" w:customStyle="1" w:styleId="29">
    <w:name w:val="AnnotationTok"/>
    <w:uiPriority w:val="0"/>
    <w:rPr>
      <w:b/>
      <w:i/>
      <w:color w:val="60A0B0"/>
    </w:rPr>
  </w:style>
  <w:style w:type="character" w:customStyle="1" w:styleId="30">
    <w:name w:val="CommentVarTok"/>
    <w:uiPriority w:val="0"/>
    <w:rPr>
      <w:b/>
      <w:i/>
      <w:color w:val="60A0B0"/>
    </w:rPr>
  </w:style>
  <w:style w:type="character" w:customStyle="1" w:styleId="31">
    <w:name w:val="OtherTok"/>
    <w:uiPriority w:val="0"/>
    <w:rPr>
      <w:color w:val="007020"/>
    </w:rPr>
  </w:style>
  <w:style w:type="character" w:customStyle="1" w:styleId="32">
    <w:name w:val="FunctionTok"/>
    <w:uiPriority w:val="0"/>
    <w:rPr>
      <w:color w:val="06287E"/>
    </w:rPr>
  </w:style>
  <w:style w:type="character" w:customStyle="1" w:styleId="33">
    <w:name w:val="VariableTok"/>
    <w:uiPriority w:val="0"/>
    <w:rPr>
      <w:color w:val="19177C"/>
    </w:rPr>
  </w:style>
  <w:style w:type="character" w:customStyle="1" w:styleId="34">
    <w:name w:val="ControlFlowTok"/>
    <w:uiPriority w:val="0"/>
    <w:rPr>
      <w:b/>
      <w:color w:val="007020"/>
    </w:rPr>
  </w:style>
  <w:style w:type="character" w:customStyle="1" w:styleId="35">
    <w:name w:val="OperatorTok"/>
    <w:uiPriority w:val="0"/>
    <w:rPr>
      <w:color w:val="666666"/>
    </w:rPr>
  </w:style>
  <w:style w:type="character" w:customStyle="1" w:styleId="36">
    <w:name w:val="BuiltInTok"/>
    <w:uiPriority w:val="0"/>
    <w:rPr>
      <w:color w:val="008000"/>
    </w:rPr>
  </w:style>
  <w:style w:type="character" w:customStyle="1" w:styleId="37">
    <w:name w:val="ExtensionTok"/>
    <w:uiPriority w:val="0"/>
  </w:style>
  <w:style w:type="character" w:customStyle="1" w:styleId="38">
    <w:name w:val="PreprocessorTok"/>
    <w:uiPriority w:val="0"/>
    <w:rPr>
      <w:color w:val="BC7A00"/>
    </w:rPr>
  </w:style>
  <w:style w:type="character" w:customStyle="1" w:styleId="39">
    <w:name w:val="AttributeTok"/>
    <w:uiPriority w:val="0"/>
    <w:rPr>
      <w:color w:val="7D9029"/>
    </w:rPr>
  </w:style>
  <w:style w:type="character" w:customStyle="1" w:styleId="40">
    <w:name w:val="RegionMarkerTok"/>
    <w:uiPriority w:val="0"/>
  </w:style>
  <w:style w:type="character" w:customStyle="1" w:styleId="41">
    <w:name w:val="InformationTok"/>
    <w:uiPriority w:val="0"/>
    <w:rPr>
      <w:b/>
      <w:i/>
      <w:color w:val="60A0B0"/>
    </w:rPr>
  </w:style>
  <w:style w:type="character" w:customStyle="1" w:styleId="42">
    <w:name w:val="WarningTok"/>
    <w:uiPriority w:val="0"/>
    <w:rPr>
      <w:b/>
      <w:i/>
      <w:color w:val="60A0B0"/>
    </w:rPr>
  </w:style>
  <w:style w:type="character" w:customStyle="1" w:styleId="43">
    <w:name w:val="AlertTok"/>
    <w:uiPriority w:val="0"/>
    <w:rPr>
      <w:b/>
      <w:color w:val="FF0000"/>
    </w:rPr>
  </w:style>
  <w:style w:type="character" w:customStyle="1" w:styleId="44">
    <w:name w:val="ErrorTok"/>
    <w:uiPriority w:val="0"/>
    <w:rPr>
      <w:b/>
      <w:color w:val="FF0000"/>
    </w:rPr>
  </w:style>
  <w:style w:type="character" w:customStyle="1" w:styleId="45">
    <w:name w:val="NormalTok"/>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TotalTime>0</TotalTime>
  <ScaleCrop>false</ScaleCrop>
  <LinksUpToDate>false</LinksUpToDate>
  <Application>WPS Office_12.1.25205.25205_F1E327BC-269C-435d-A152-05C5408002CA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2026-03-23T01:25:00Z</dcterms:created>
  <dc:creator>郭嘉乐　2025013332　gjl25@mails.tsinghua.edu.cn</dc:creator>
  <cp:lastModifiedBy>郭嘉乐(2025013332)</cp:lastModifiedBy>
  <dcterms:modified xsi:type="dcterms:W3CDTF">2026-03-22T22:15:31Z</dcterms:modified>
  <dc:title>暴力与对抗：探究《哈利·波特》世界观中的暴力组织</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C541B126AAB7D0C761F7BF69C90361A8_42</vt:lpwstr>
  </property>
</Properties>
</file>