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D54525">
      <w:pPr>
        <w:keepNext w:val="0"/>
        <w:keepLines w:val="0"/>
        <w:widowControl/>
        <w:suppressLineNumbers w:val="0"/>
        <w:jc w:val="left"/>
        <w:rPr>
          <w:rFonts w:hint="eastAsia"/>
          <w:lang w:val="en-US" w:eastAsia="zh-CN"/>
        </w:rPr>
      </w:pPr>
      <w:r>
        <w:rPr>
          <w:rFonts w:hint="eastAsia" w:ascii="宋体" w:hAnsi="宋体" w:eastAsia="宋体" w:cs="宋体"/>
          <w:i w:val="0"/>
          <w:iCs w:val="0"/>
          <w:caps w:val="0"/>
          <w:spacing w:val="0"/>
          <w:kern w:val="0"/>
          <w:sz w:val="21"/>
          <w:szCs w:val="21"/>
          <w:u w:val="none"/>
          <w:lang w:val="en-US" w:eastAsia="zh-CN" w:bidi="ar"/>
        </w:rPr>
        <w:t>研究问题</w:t>
      </w:r>
      <w:r>
        <w:rPr>
          <w:rFonts w:hint="eastAsia" w:ascii="宋体" w:hAnsi="宋体" w:eastAsia="宋体" w:cs="宋体"/>
          <w:i w:val="0"/>
          <w:iCs w:val="0"/>
          <w:caps w:val="0"/>
          <w:spacing w:val="0"/>
          <w:kern w:val="0"/>
          <w:sz w:val="21"/>
          <w:szCs w:val="21"/>
          <w:u w:val="none"/>
          <w:lang w:val="en-US" w:eastAsia="zh-CN" w:bidi="ar"/>
        </w:rPr>
        <w:t>：为什么</w:t>
      </w:r>
      <w:r>
        <w:rPr>
          <w:rFonts w:hint="eastAsia"/>
        </w:rPr>
        <w:t>乱世中魔法部与食死徒的趋同选择</w:t>
      </w:r>
      <w:r>
        <w:rPr>
          <w:rFonts w:hint="eastAsia"/>
          <w:lang w:val="en-US" w:eastAsia="zh-CN"/>
        </w:rPr>
        <w:t>用恐怖统治维护高压秩序</w:t>
      </w:r>
    </w:p>
    <w:p w14:paraId="39205831">
      <w:pPr>
        <w:keepNext w:val="0"/>
        <w:keepLines w:val="0"/>
        <w:widowControl/>
        <w:suppressLineNumbers w:val="0"/>
        <w:jc w:val="left"/>
        <w:rPr>
          <w:rFonts w:hint="eastAsia"/>
          <w:lang w:val="en-US" w:eastAsia="zh-CN"/>
        </w:rPr>
      </w:pPr>
      <w:r>
        <w:rPr>
          <w:rFonts w:hint="eastAsia"/>
          <w:lang w:val="en-US" w:eastAsia="zh-CN"/>
        </w:rPr>
        <w:t>答案：利维坦式极权组织从恐惧与恐怖中来，毁灭于恐惧与恐怖的自身恶果。</w:t>
      </w:r>
    </w:p>
    <w:p w14:paraId="6ABAA4DD">
      <w:pPr>
        <w:keepNext w:val="0"/>
        <w:keepLines w:val="0"/>
        <w:widowControl/>
        <w:suppressLineNumbers w:val="0"/>
        <w:jc w:val="left"/>
        <w:rPr>
          <w:rFonts w:hint="eastAsia"/>
        </w:rPr>
      </w:pPr>
      <w:r>
        <w:rPr>
          <w:rFonts w:hint="eastAsia"/>
          <w:lang w:val="en-US" w:eastAsia="zh-CN"/>
        </w:rPr>
        <w:t>第一段主张：</w:t>
      </w:r>
      <w:r>
        <w:rPr>
          <w:rFonts w:hint="eastAsia"/>
        </w:rPr>
        <w:t>他们出于不同的原因，都对自身统治的正统性与稳定性有高度的自我恐惧，对一切无法被自己权力完全透视、归类、管控的模糊地带抱有恐惧。这种恐惧驱使他们追求一种“绝对安全”的秩序，而这种秩序的实现，必须以清除所有“不确定性”为代价，而他们的选择便是将内部的恐惧外化，在恐怖上建设高压统治。</w:t>
      </w:r>
    </w:p>
    <w:p w14:paraId="703B4DB3">
      <w:pPr>
        <w:keepNext w:val="0"/>
        <w:keepLines w:val="0"/>
        <w:widowControl/>
        <w:suppressLineNumbers w:val="0"/>
        <w:jc w:val="left"/>
        <w:rPr>
          <w:rFonts w:hint="eastAsia"/>
        </w:rPr>
      </w:pPr>
    </w:p>
    <w:p w14:paraId="7C3CC4E8">
      <w:pPr>
        <w:keepNext w:val="0"/>
        <w:keepLines w:val="0"/>
        <w:widowControl/>
        <w:suppressLineNumbers w:val="0"/>
        <w:jc w:val="left"/>
        <w:rPr>
          <w:rFonts w:hint="eastAsia"/>
        </w:rPr>
      </w:pPr>
    </w:p>
    <w:p w14:paraId="3832938C">
      <w:pPr>
        <w:keepNext w:val="0"/>
        <w:keepLines w:val="0"/>
        <w:widowControl/>
        <w:suppressLineNumbers w:val="0"/>
        <w:jc w:val="left"/>
        <w:rPr>
          <w:rFonts w:hint="eastAsia"/>
        </w:rPr>
      </w:pPr>
    </w:p>
    <w:p w14:paraId="31D1A840">
      <w:pPr>
        <w:keepNext w:val="0"/>
        <w:keepLines w:val="0"/>
        <w:widowControl/>
        <w:suppressLineNumbers w:val="0"/>
        <w:jc w:val="left"/>
        <w:rPr>
          <w:rFonts w:hint="eastAsia"/>
        </w:rPr>
      </w:pPr>
    </w:p>
    <w:p w14:paraId="5367A36D">
      <w:pPr>
        <w:keepNext w:val="0"/>
        <w:keepLines w:val="0"/>
        <w:widowControl/>
        <w:suppressLineNumbers w:val="0"/>
        <w:jc w:val="left"/>
        <w:rPr>
          <w:rFonts w:hint="eastAsia"/>
        </w:rPr>
      </w:pPr>
    </w:p>
    <w:p w14:paraId="0E28E765">
      <w:pPr>
        <w:keepNext w:val="0"/>
        <w:keepLines w:val="0"/>
        <w:widowControl/>
        <w:suppressLineNumbers w:val="0"/>
        <w:jc w:val="left"/>
        <w:rPr>
          <w:rFonts w:hint="eastAsia"/>
        </w:rPr>
      </w:pPr>
    </w:p>
    <w:p w14:paraId="659FEC01">
      <w:pPr>
        <w:keepNext w:val="0"/>
        <w:keepLines w:val="0"/>
        <w:widowControl/>
        <w:suppressLineNumbers w:val="0"/>
        <w:jc w:val="left"/>
        <w:rPr>
          <w:rFonts w:hint="eastAsia"/>
        </w:rPr>
      </w:pPr>
    </w:p>
    <w:p w14:paraId="33559DD4">
      <w:pPr>
        <w:keepNext w:val="0"/>
        <w:keepLines w:val="0"/>
        <w:widowControl/>
        <w:suppressLineNumbers w:val="0"/>
        <w:jc w:val="left"/>
        <w:rPr>
          <w:rFonts w:hint="eastAsia"/>
        </w:rPr>
      </w:pPr>
    </w:p>
    <w:p w14:paraId="2E7B61B0">
      <w:pPr>
        <w:keepNext w:val="0"/>
        <w:keepLines w:val="0"/>
        <w:widowControl/>
        <w:suppressLineNumbers w:val="0"/>
        <w:jc w:val="left"/>
        <w:rPr>
          <w:rFonts w:hint="eastAsia"/>
        </w:rPr>
      </w:pPr>
    </w:p>
    <w:p w14:paraId="64977D7F">
      <w:pPr>
        <w:keepNext w:val="0"/>
        <w:keepLines w:val="0"/>
        <w:widowControl/>
        <w:suppressLineNumbers w:val="0"/>
        <w:jc w:val="left"/>
        <w:rPr>
          <w:rFonts w:hint="eastAsia"/>
        </w:rPr>
      </w:pPr>
    </w:p>
    <w:p w14:paraId="5F918470">
      <w:pPr>
        <w:keepNext w:val="0"/>
        <w:keepLines w:val="0"/>
        <w:widowControl/>
        <w:suppressLineNumbers w:val="0"/>
        <w:jc w:val="left"/>
        <w:rPr>
          <w:rFonts w:hint="eastAsia"/>
        </w:rPr>
      </w:pPr>
    </w:p>
    <w:p w14:paraId="28BE39AD">
      <w:pPr>
        <w:keepNext w:val="0"/>
        <w:keepLines w:val="0"/>
        <w:widowControl/>
        <w:suppressLineNumbers w:val="0"/>
        <w:jc w:val="left"/>
        <w:rPr>
          <w:rFonts w:hint="eastAsia"/>
        </w:rPr>
      </w:pPr>
    </w:p>
    <w:p w14:paraId="49612363">
      <w:pPr>
        <w:keepNext w:val="0"/>
        <w:keepLines w:val="0"/>
        <w:widowControl/>
        <w:suppressLineNumbers w:val="0"/>
        <w:jc w:val="left"/>
        <w:rPr>
          <w:rFonts w:hint="eastAsia"/>
        </w:rPr>
      </w:pPr>
    </w:p>
    <w:p w14:paraId="1811D273">
      <w:pPr>
        <w:keepNext w:val="0"/>
        <w:keepLines w:val="0"/>
        <w:widowControl/>
        <w:suppressLineNumbers w:val="0"/>
        <w:jc w:val="left"/>
        <w:rPr>
          <w:rFonts w:hint="eastAsia"/>
        </w:rPr>
      </w:pPr>
    </w:p>
    <w:p w14:paraId="4D725030">
      <w:pPr>
        <w:keepNext w:val="0"/>
        <w:keepLines w:val="0"/>
        <w:widowControl/>
        <w:suppressLineNumbers w:val="0"/>
        <w:jc w:val="left"/>
        <w:rPr>
          <w:rFonts w:hint="eastAsia"/>
        </w:rPr>
      </w:pPr>
    </w:p>
    <w:p w14:paraId="24B43CCB">
      <w:pPr>
        <w:keepNext w:val="0"/>
        <w:keepLines w:val="0"/>
        <w:widowControl/>
        <w:suppressLineNumbers w:val="0"/>
        <w:jc w:val="left"/>
        <w:rPr>
          <w:rFonts w:hint="eastAsia"/>
        </w:rPr>
      </w:pPr>
    </w:p>
    <w:p w14:paraId="004EDF71">
      <w:pPr>
        <w:keepNext w:val="0"/>
        <w:keepLines w:val="0"/>
        <w:widowControl/>
        <w:suppressLineNumbers w:val="0"/>
        <w:jc w:val="left"/>
        <w:rPr>
          <w:rFonts w:hint="eastAsia"/>
        </w:rPr>
      </w:pPr>
    </w:p>
    <w:p w14:paraId="4CAB45F7">
      <w:pPr>
        <w:keepNext w:val="0"/>
        <w:keepLines w:val="0"/>
        <w:widowControl/>
        <w:suppressLineNumbers w:val="0"/>
        <w:jc w:val="left"/>
        <w:rPr>
          <w:rFonts w:hint="eastAsia"/>
        </w:rPr>
      </w:pPr>
    </w:p>
    <w:p w14:paraId="6BEB56B4">
      <w:pPr>
        <w:keepNext w:val="0"/>
        <w:keepLines w:val="0"/>
        <w:widowControl/>
        <w:suppressLineNumbers w:val="0"/>
        <w:jc w:val="left"/>
        <w:rPr>
          <w:rFonts w:hint="eastAsia"/>
        </w:rPr>
      </w:pPr>
    </w:p>
    <w:p w14:paraId="533C62AA">
      <w:pPr>
        <w:keepNext w:val="0"/>
        <w:keepLines w:val="0"/>
        <w:widowControl/>
        <w:suppressLineNumbers w:val="0"/>
        <w:jc w:val="left"/>
        <w:rPr>
          <w:rFonts w:hint="eastAsia"/>
        </w:rPr>
      </w:pPr>
    </w:p>
    <w:p w14:paraId="4B521338">
      <w:pPr>
        <w:keepNext w:val="0"/>
        <w:keepLines w:val="0"/>
        <w:widowControl/>
        <w:suppressLineNumbers w:val="0"/>
        <w:jc w:val="left"/>
        <w:rPr>
          <w:rFonts w:hint="eastAsia"/>
        </w:rPr>
      </w:pPr>
    </w:p>
    <w:p w14:paraId="65639C4D">
      <w:pPr>
        <w:keepNext w:val="0"/>
        <w:keepLines w:val="0"/>
        <w:widowControl/>
        <w:suppressLineNumbers w:val="0"/>
        <w:jc w:val="left"/>
        <w:rPr>
          <w:rFonts w:hint="eastAsia"/>
        </w:rPr>
      </w:pPr>
    </w:p>
    <w:p w14:paraId="05CE972A">
      <w:pPr>
        <w:keepNext w:val="0"/>
        <w:keepLines w:val="0"/>
        <w:widowControl/>
        <w:suppressLineNumbers w:val="0"/>
        <w:jc w:val="left"/>
        <w:rPr>
          <w:rFonts w:hint="eastAsia"/>
        </w:rPr>
      </w:pPr>
    </w:p>
    <w:p w14:paraId="306E23B3">
      <w:pPr>
        <w:keepNext w:val="0"/>
        <w:keepLines w:val="0"/>
        <w:widowControl/>
        <w:suppressLineNumbers w:val="0"/>
        <w:jc w:val="left"/>
        <w:rPr>
          <w:rFonts w:hint="eastAsia"/>
        </w:rPr>
      </w:pPr>
    </w:p>
    <w:p w14:paraId="03884238">
      <w:pPr>
        <w:keepNext w:val="0"/>
        <w:keepLines w:val="0"/>
        <w:widowControl/>
        <w:suppressLineNumbers w:val="0"/>
        <w:jc w:val="left"/>
        <w:rPr>
          <w:rFonts w:hint="eastAsia"/>
        </w:rPr>
      </w:pPr>
    </w:p>
    <w:p w14:paraId="16E7C201">
      <w:pPr>
        <w:keepNext w:val="0"/>
        <w:keepLines w:val="0"/>
        <w:widowControl/>
        <w:suppressLineNumbers w:val="0"/>
        <w:jc w:val="left"/>
        <w:rPr>
          <w:rFonts w:hint="eastAsia"/>
        </w:rPr>
      </w:pPr>
    </w:p>
    <w:p w14:paraId="3B6D60F2">
      <w:pPr>
        <w:keepNext w:val="0"/>
        <w:keepLines w:val="0"/>
        <w:widowControl/>
        <w:suppressLineNumbers w:val="0"/>
        <w:jc w:val="left"/>
        <w:rPr>
          <w:rFonts w:hint="eastAsia"/>
        </w:rPr>
      </w:pPr>
    </w:p>
    <w:p w14:paraId="0D029AAB">
      <w:pPr>
        <w:keepNext w:val="0"/>
        <w:keepLines w:val="0"/>
        <w:widowControl/>
        <w:suppressLineNumbers w:val="0"/>
        <w:jc w:val="left"/>
        <w:rPr>
          <w:rFonts w:hint="eastAsia"/>
        </w:rPr>
      </w:pPr>
    </w:p>
    <w:p w14:paraId="4D3EEDFA">
      <w:pPr>
        <w:keepNext w:val="0"/>
        <w:keepLines w:val="0"/>
        <w:widowControl/>
        <w:suppressLineNumbers w:val="0"/>
        <w:jc w:val="left"/>
        <w:rPr>
          <w:rFonts w:hint="eastAsia"/>
        </w:rPr>
      </w:pPr>
    </w:p>
    <w:p w14:paraId="0AF21C15">
      <w:pPr>
        <w:keepNext w:val="0"/>
        <w:keepLines w:val="0"/>
        <w:widowControl/>
        <w:suppressLineNumbers w:val="0"/>
        <w:jc w:val="left"/>
        <w:rPr>
          <w:rFonts w:hint="default"/>
          <w:lang w:val="en-US" w:eastAsia="zh-CN"/>
        </w:rPr>
      </w:pPr>
      <w:bookmarkStart w:id="4" w:name="_GoBack"/>
      <w:bookmarkEnd w:id="4"/>
    </w:p>
    <w:p w14:paraId="73D9F8FB">
      <w:pPr>
        <w:pStyle w:val="6"/>
        <w:jc w:val="left"/>
        <w:rPr>
          <w:rFonts w:hint="eastAsia"/>
          <w:b w:val="0"/>
          <w:bCs/>
          <w:sz w:val="21"/>
          <w:szCs w:val="21"/>
        </w:rPr>
      </w:pPr>
    </w:p>
    <w:p w14:paraId="08807EB9">
      <w:pPr>
        <w:pStyle w:val="6"/>
      </w:pPr>
      <w:r>
        <w:rPr>
          <w:rFonts w:hint="eastAsia"/>
        </w:rPr>
        <w:t>建立在恐怖上的秩序：乱世中魔法部与食死徒的趋同选择</w:t>
      </w:r>
    </w:p>
    <w:p w14:paraId="42E95C52">
      <w:pPr>
        <w:pStyle w:val="7"/>
      </w:pPr>
      <w:r>
        <w:rPr>
          <w:rFonts w:hint="eastAsia"/>
        </w:rPr>
        <w:t>郭嘉乐</w:t>
      </w:r>
      <w:r>
        <w:t>　2025013332　gjl25@mails.tsinghua.edu.cn</w:t>
      </w:r>
    </w:p>
    <w:p w14:paraId="2EBFD596">
      <w:r>
        <w:rPr>
          <w:rFonts w:hint="eastAsia"/>
        </w:rPr>
        <w:t>或许每个人第一次翻开哈利·波特，都是被它所描述的如梦如幻的魔法世界所吸引，为其中的精彩故事所着迷。然而美好的幻想总是会随着现实的引力应声落地，即使在魔法世界也不例外——《哈利·波特》系列从第四部开始便逐渐走向“充满黑暗”的成人的世界；随着伏地魔、食死徒们的卷土重来，原本和谐美好的魔法社会逐渐被撕裂、原有的秩序被打破，所有人都陷入了人人自危、信任消磨的环境中。在这种混乱不堪的非常态社会下，代表着正义与正统秩序的魔法部与代表着黑暗势力的食死徒们却不约而同的选择了同一种统治方法：以极端的高压和建立一定程度的恐怖秩序来震慑底层民众。表面上来看这简直匪夷所思，但实际上他们具有共同的内部逻辑与统治思考。本文将以书中的具体情节为例，探讨二者趋同性选择的逻辑与给予我们的启示。</w:t>
      </w:r>
    </w:p>
    <w:p w14:paraId="1D98AE32">
      <w:pPr>
        <w:pStyle w:val="2"/>
      </w:pPr>
      <w:bookmarkStart w:id="0" w:name="不尽相同的口号本质趋同的目的"/>
      <w:r>
        <w:rPr>
          <w:rFonts w:hint="eastAsia"/>
        </w:rPr>
        <w:t>不尽相同的口号，本质趋同的目的</w:t>
      </w:r>
    </w:p>
    <w:p w14:paraId="2055982E">
      <w:r>
        <w:rPr>
          <w:rFonts w:hint="eastAsia"/>
        </w:rPr>
        <w:t>我们可以提出一个大胆的假设：虽然表面上二者水火不相容，但是魔法部与食死徒实行高压统治的目的本质趋同：他们出于不同的原因，都对自身统治的正统性与稳定性有高度的自我恐惧，对一切无法被自己权力完全透视、归类、管控的模糊地带抱有恐惧。这种恐惧驱使他们追求一种“绝对安全”的秩序，而这种秩序的实现，必须以清除所有“不确定性”为代价，而他们的选择便是将内部的恐惧外化，在恐怖上建设高压统治。</w:t>
      </w:r>
    </w:p>
    <w:p w14:paraId="57583CE1">
      <w:r>
        <w:rPr>
          <w:rFonts w:hint="eastAsia"/>
        </w:rPr>
        <w:t>先从魔法部的角度出发显然更具说服力。在系列小说中，魔法部作为名义上正统的最高公权力机关，其很多政令却经常站在民众的对立面，前期拒不承认伏地魔的归来、镇压有关黑魔法防御活动，后期欲组织黑魔法防御体系却已被食死徒渗透到底。这其实是有迹可循的。根据霍布斯的理论，在混乱的时代，人们会出于对死亡的畏惧和对和平的渴望，让渡权利给一个主权者，从而诞生了伟大的“利维坦”</w:t>
      </w:r>
      <w:r>
        <w:rPr>
          <w:rStyle w:val="12"/>
        </w:rPr>
        <w:footnoteReference w:id="0"/>
      </w:r>
      <w:r>
        <w:rPr>
          <w:rFonts w:hint="eastAsia"/>
        </w:rPr>
        <w:t>。魔法部本身便是利维坦式的产物：长期在麻瓜世界被欺压的巫师群体们将自己的权利主动让渡给一部分精英巫师，产生了这样一个名义上高度集中的权力机关，祈求这样一个主权者给他们带来稳定与安宁。但正如《圣经》中那个最终不可控制的巨兽一般，黑魔法回归的特殊环境最终也将本就在畸形中诞生的魔法部豢养成为了那头无法自救的真正的利维坦：主权者本身成为了恐惧的生产者，并以“提供安全”为名，要求臣民放弃一切自由与不确定性。</w:t>
      </w:r>
    </w:p>
    <w:p w14:paraId="2B0B72B9">
      <w:r>
        <w:rPr>
          <w:rFonts w:hint="eastAsia"/>
        </w:rPr>
        <w:t>这可以看作是魔法部在黑魔法回归后发展的必然结局。利维坦式机构存在的核心，便在于维持其绝对的确定性以捍卫其地位；它的权力取之于民，而民众让渡权利后有责任使得他的这种行为是有效负责的</w:t>
      </w:r>
      <w:r>
        <w:rPr>
          <w:rStyle w:val="12"/>
        </w:rPr>
        <w:footnoteReference w:id="1"/>
      </w:r>
      <w:r>
        <w:rPr>
          <w:rFonts w:hint="eastAsia"/>
        </w:rPr>
        <w:t>;若民众发现主权者无法对此负责，收回对主权者的信任和让渡与它的权利，那么整个机构必然不复存在。而多么不幸，邓布利多为部长福吉带来的那条晴天霹雳般的消息正好是这个机构最害怕的黑天鹅：黑魔法归来了。无论真假，回归意味着没有斩尽杀绝，意味着可能更可怕的报复，这一消息远比十几年前更严重动摇了舆论的信心，从而带来了不稳定性，由此破坏了机构的根基。</w:t>
      </w:r>
    </w:p>
    <w:p w14:paraId="03D5F705">
      <w:r>
        <w:rPr>
          <w:rFonts w:hint="eastAsia"/>
        </w:rPr>
        <w:t>在这种情况下，其实魔法部的众多举动便都有据可依。最典型也是最开始显现的莫过于福吉直接下令用摄魂怪处决小巴蒂·克劳奇这一片段</w:t>
      </w:r>
      <w:r>
        <w:rPr>
          <w:rStyle w:val="12"/>
        </w:rPr>
        <w:footnoteReference w:id="2"/>
      </w:r>
      <w:r>
        <w:rPr>
          <w:rFonts w:hint="eastAsia"/>
        </w:rPr>
        <w:t>。福吉并非不知道他是十恶不赦之人，理应先充分榨干其价值、询问来龙去脉后再对他施以刑罚，正如十几年前人们面对食死徒时的那般措施；但是他没有，他一声令下便处决了犯人，即使老克劳奇也不会如此“果断”。以部长为代表的魔法部变了，他们开始逃避甚至建立高压统治震慑人们，只为维护“伏地魔没有归来”这一确定性的叙事。我们可以说是因为缺少了当年那样更有魄力的领导人，但更合理的解释是这个诞生于乱世中且从未健康发展的组织，在黑魔法回归的恶性诱因下，已经成长为了不受控制的社会肿瘤。</w:t>
      </w:r>
    </w:p>
    <w:p w14:paraId="6A124A47">
      <w:r>
        <w:rPr>
          <w:rFonts w:hint="eastAsia"/>
        </w:rPr>
        <w:t>从这个角度来讲，魔法部是食死徒的一面外表光鲜亮丽的镜子；回到讨论食死徒上，问这个问题便清晰而明了了很多。食死徒们自己带来了极端的恐惧、混乱与暴力，但他们直到倒台也并没有真正掌握这股风暴的能力；或者说食死徒们最为突出的某些特质，恰恰是他们为自己打造的枷锁。他们带来了恐惧，但是这股恐惧其实早已波及自身。食死徒们是一个组织更加松散的团体，或者更符合霍布斯所说的蓄意为恶、掩人耳目、愚弄百姓的邪教组织</w:t>
      </w:r>
      <w:r>
        <w:rPr>
          <w:rStyle w:val="12"/>
        </w:rPr>
        <w:footnoteReference w:id="3"/>
      </w:r>
      <w:r>
        <w:rPr>
          <w:rFonts w:hint="eastAsia"/>
        </w:rPr>
        <w:t>。这种组织自诞生起，就天然缺乏利维坦们的高度集中性与权力正统性，而他们诞生的目的却荒唐可笑：他们立志于让自己成为这个恶性肿瘤的替代者，成为第二个至高无上的利维坦。因此比起魔法部他们其实更加恐惧自己的合法性与稳定性，他们必须基于更加虚渺的传说与想象编造一个所谓确定性的事实：纯血统至上。我们知道纯血统至上论完全是无稽之谈；但正如齐泽克所言：“他们对自己的所作所为一清二楚，但他们依旧坦然为之”</w:t>
      </w:r>
      <w:r>
        <w:rPr>
          <w:rStyle w:val="12"/>
        </w:rPr>
        <w:footnoteReference w:id="4"/>
      </w:r>
      <w:r>
        <w:rPr>
          <w:rFonts w:hint="eastAsia"/>
        </w:rPr>
        <w:t>。当一个组织试图将最令人感到不解与厌恶的“狗智主义”视为圭杲时，实际上他们自己已经为之所困——这也是麻瓜社会惨痛的经验教训。为了维护纯血统这一他们所信奉的虚伪的确定性，他们残酷统治、大开杀戒，越是如此则越投射出组织的虚弱与其必将土崩瓦解的事实。</w:t>
      </w:r>
    </w:p>
    <w:p w14:paraId="177604FC">
      <w:r>
        <w:rPr>
          <w:rFonts w:hint="eastAsia"/>
        </w:rPr>
        <w:t>由此，两个本应出于对立面的组织居然产生了近乎相同的目的：铲除一切威胁组织纯洁性与稳定性的不确定因素，维护一个必将土崩瓦解的体制现状。</w:t>
      </w:r>
    </w:p>
    <w:bookmarkEnd w:id="0"/>
    <w:p w14:paraId="5B39F7D6">
      <w:pPr>
        <w:pStyle w:val="2"/>
      </w:pPr>
      <w:bookmarkStart w:id="1" w:name="共同的恐怖手段全面的恐怖氛围"/>
      <w:r>
        <w:rPr>
          <w:rFonts w:hint="eastAsia"/>
        </w:rPr>
        <w:t>共同的恐怖手段，全面的恐怖氛围</w:t>
      </w:r>
    </w:p>
    <w:p w14:paraId="58E7B0B8">
      <w:r>
        <w:rPr>
          <w:rFonts w:hint="eastAsia"/>
        </w:rPr>
        <w:t>由于本质底层目的的趋同，魔法部与食死徒实际上隐隐采取了许多趋同的恐怖统治手段：全盘监控、告密机制、仪式化暴力。这三者互相依靠：监控提供信息，告密瓦解信任，暴力则将以上两者转化为震慑整个社会的权力展演；这些同样成为了我们佐证他们底层趋同的重要论据。</w:t>
      </w:r>
    </w:p>
    <w:p w14:paraId="6796A589">
      <w:r>
        <w:rPr>
          <w:rFonts w:hint="eastAsia"/>
        </w:rPr>
        <w:t>依旧从魔法部开始讨论。熟读小说的读者都知道，实际上，魔法世界的公权力机关从未表现得有多么稳重可靠。魔法部同时拥有最高的立法权、执法权、法律解释权，并且和威森加摩基本融为一体，魔法部成为了事实上的独裁机构，其手中的暴力在名义上毫无限制，是一种接近初级国家阶段的无监督暴力</w:t>
      </w:r>
      <w:r>
        <w:rPr>
          <w:rStyle w:val="12"/>
        </w:rPr>
        <w:footnoteReference w:id="5"/>
      </w:r>
      <w:r>
        <w:t>。</w:t>
      </w:r>
    </w:p>
    <w:p w14:paraId="4321AF2B">
      <w:r>
        <w:rPr>
          <w:rFonts w:hint="eastAsia"/>
        </w:rPr>
        <w:t>到了黑魔法回归的时代，这种表现更为明显；具体而言，魔法部的恐怖统治手段可以分为三类。首先以全盘监控为底座，乌姆里奇在霍格沃茨建立“特别调查组”，赋予斯莱特林学生搜查、扣分、惩罚的权力。学生之间的日常交往本身变成了监控工具，公共空间（宿舍、公共休息室、走廊）全部不再安全；学生的私人通信被拦截和审阅，公私边界被彻底取消；魔法部通过《预言家日报》控制公共舆论，对哈利和邓布利多进行系统性污名化报道。在这之后，登场的是为监控机制补缺口的告密机制：魔法部主动鼓励告密；D.A.最终被告发，不是因为乌姆里奇的外部侦查成功，而正是因为内部成员在社交压力下出卖了组织；“特别调查组”的学生享有特权，告密不再是被动的出卖，而是主动的爬升行为；这种设计将告密行为赋予了荣誉和权力，诱惑学生将同学关系转化为自己爬升的阶梯。最后，在获取足够情报后，暴力在无比光明正义的粉饰下堂堂登场，对哈利的威森加摩审判作为一种公开的羞辱，乌姆里奇的特制羽毛笔体罚让暴力充满了利维坦视角下的“美感”——当现代社会的公共权力回归到法制残缺时期的酷刑政治，将惩罚对象回归到肉体而非灵魂的改造时</w:t>
      </w:r>
      <w:r>
        <w:rPr>
          <w:rStyle w:val="12"/>
        </w:rPr>
        <w:footnoteReference w:id="6"/>
      </w:r>
      <w:r>
        <w:rPr>
          <w:rFonts w:hint="eastAsia"/>
        </w:rPr>
        <w:t>，我们很难认为此时的魔法部能有怎样符合现代社会要求的约束力。这从事实层面佐证了，在这时，魔法部早已成为尾大不掉、混乱而自我恶性循环的肿瘤，他们出于对自己的恐惧，建立对别人的恐怖统治。</w:t>
      </w:r>
    </w:p>
    <w:p w14:paraId="6BA67A70">
      <w:r>
        <w:rPr>
          <w:rFonts w:hint="eastAsia"/>
        </w:rPr>
        <w:t>由此回到对食死徒的探讨，结论其实更加清晰。其实早在黑魔法第一次来临时，巴蒂·克劳奇为代表的魔法部强硬派没有经过任何限制、选举和讨论便可以直接采用最极端的刑讯逼供手段进行无差别的严厉打击，实际上和黑魔法势力其残酷程度不相上下</w:t>
      </w:r>
      <w:r>
        <w:rPr>
          <w:rStyle w:val="12"/>
        </w:rPr>
        <w:footnoteReference w:id="7"/>
      </w:r>
      <w:r>
        <w:rPr>
          <w:rFonts w:hint="eastAsia"/>
        </w:rPr>
        <w:t>。或者说，食死徒简单的、更易让人察觉的密探渗透、恐吓鼓励告密、大规模动用私刑的三件套，在魔法部的仪式化下完成了华丽的转身，转变成了更加隐秘的一套对维护自身地位的对底层的系统性恐怖手段。</w:t>
      </w:r>
    </w:p>
    <w:bookmarkEnd w:id="1"/>
    <w:p w14:paraId="74215271">
      <w:pPr>
        <w:pStyle w:val="2"/>
      </w:pPr>
      <w:bookmarkStart w:id="2" w:name="共同的穷途末路"/>
      <w:r>
        <w:rPr>
          <w:rFonts w:hint="eastAsia"/>
        </w:rPr>
        <w:t>共同的“穷途末路”</w:t>
      </w:r>
    </w:p>
    <w:p w14:paraId="675E84AD">
      <w:r>
        <w:rPr>
          <w:rFonts w:hint="eastAsia"/>
        </w:rPr>
        <w:t>在趋同的目的下，其实二者的结局也趋同：旧魔法部与食死徒们一起走向了最终的灭亡，魔法部走向新生。根据汉娜·阿伦特的论断，如利维坦式极权通过构造所谓的稳定性、唯一性摧毁人们理解的工具，紧接着用并不真实的的意识形态控制新的理解，通过恐怖运动产生权势，却也会因此走向最终的倒台：因为这些只有对孤立的、互不信任的个体会产生统治的效果，而人天性中的互相取暖、自由思考是无法被扼杀的。</w:t>
      </w:r>
      <w:r>
        <w:rPr>
          <w:rStyle w:val="12"/>
        </w:rPr>
        <w:footnoteReference w:id="8"/>
      </w:r>
      <w:r>
        <w:rPr>
          <w:rFonts w:hint="eastAsia"/>
        </w:rPr>
        <w:t>正如魔法部的前期逃避镇压、后期懦弱不作为甚至被渗透，催生了如邓布利多军这样的自发形成的革命组织；正如食死徒们的全力镇压，依旧无法扑灭霍格沃茨几千名学生们心中燃烧的熊熊火焰。这两个组织最后都走向了自我吞噬的必然结局：他们诞生于恐惧，被恐惧所豢养，用恐怖维护恐惧的假象，尝试摧毁理解的工具，因此无法跳脱出恶性循环的框架，无法预言自己的毁灭。</w:t>
      </w:r>
    </w:p>
    <w:p w14:paraId="3D5F692D">
      <w:r>
        <w:rPr>
          <w:rFonts w:hint="eastAsia"/>
        </w:rPr>
        <w:t>行文至此，我们已清晰地看到：魔法部与食死徒，这对表面上势不两立的死敌，在统治逻辑上构成了一对荒诞而可悲的镜像。它们共享对“绝对确定性”的迷恋，共享监控、告密与仪式化暴力三位一体的统治技术，也共享恐惧结构终将自我吞噬的必然命运。然而，罗琳并未让她的魔法世界终结于这片黯淡的图景。在小说的尾声，金斯莱·沙克尔接任魔法部部长，这一安排并非可有可无的尾声闲笔，而是作者对“暴力组织如何可能走向正轨”这一核心追问的郑重回答。</w:t>
      </w:r>
    </w:p>
    <w:bookmarkEnd w:id="2"/>
    <w:p w14:paraId="74C9C096">
      <w:pPr>
        <w:pStyle w:val="2"/>
      </w:pPr>
      <w:bookmarkStart w:id="3" w:name="从利维坦的毁灭到新魔法部的诞生"/>
      <w:r>
        <w:rPr>
          <w:rFonts w:hint="eastAsia"/>
        </w:rPr>
        <w:t>从“利维坦”的毁灭到“新魔法部”的诞生</w:t>
      </w:r>
    </w:p>
    <w:p w14:paraId="446A7136">
      <w:r>
        <w:rPr>
          <w:rFonts w:hint="eastAsia"/>
        </w:rPr>
        <w:t>罗琳对金斯莱的刻画着墨不多，但信息量极大。他是傲罗、凤凰社核心成员、参与魔法部保卫战的战士，在所有关键事件中都站在正义的一边。他的就任，传达着作者对暴力机关改革的两个清晰愿景：</w:t>
      </w:r>
    </w:p>
    <w:p w14:paraId="377F04B8">
      <w:r>
        <w:rPr>
          <w:rFonts w:hint="eastAsia"/>
        </w:rPr>
        <w:t>其一，暴力机关必须接受外部道德力量的约束。金斯莱始终与邓布利多、凤凰社保持着密切的合作关系，他代表的魔法部不再是那个试图消灭一切“不确定性”、与民间抵抗组织为敌的封闭利维坦，而是一个愿意承认自身局限、与公民社会中的道德力量对话的开放机构。他所领导的魔法部，不再将地下组织视为此消彼长的敌人，而视之为可以与之协作、并受其监督的公共力量的组成部分。</w:t>
      </w:r>
    </w:p>
    <w:p w14:paraId="580DF82C">
      <w:r>
        <w:rPr>
          <w:rFonts w:hint="eastAsia"/>
        </w:rPr>
        <w:t>其二，暴力本身不是目的，而是通向某种更高价值的暂时手段。金斯莱从未像乌姆里奇那样在暴力中展示个人权威，也从未像伏地魔那样将暴力视为自我价值的体现。他所使用的力量始终服务于正义目标——保护弱者和无辜者、对抗实际的威胁。这意味着，重建后的官方暴力机关必须以“力量服务于正义”作为根本原则，而非将力量本身奉为信仰。</w:t>
      </w:r>
    </w:p>
    <w:p w14:paraId="1F100AE8">
      <w:r>
        <w:rPr>
          <w:rFonts w:hint="eastAsia"/>
        </w:rPr>
        <w:t>这种螺旋式的演进模式，并非魔法世界所独有。罗琳对暴力组织的刻画中融入了现代政治演变的丰富隐喻。无论是二十世纪极权主义的崛起与崩溃，还是当代社会中官僚系统对恐怖威胁的过度反应，都在魔法世界的叙事中投下了长长的影子。金斯莱所象征的那种“自下而上的合法化重建”——由一个曾以个体身份选择抵抗的正义行动者，来主导整个系统的改革——或许正是罗琳对现代政治出路的一种想象性投射。</w:t>
      </w:r>
    </w:p>
    <w:p w14:paraId="73A5F90D">
      <w:r>
        <w:rPr>
          <w:rFonts w:hint="eastAsia"/>
        </w:rPr>
        <w:t>必须承认，金斯莱的改革只能被视为一个开放的开端，而非一个完成的答案。魔法部是否能够在制度层面建立起对权力的实质性制约，而不是仅仅依赖部长个人的道德品质？此类问题在小说结尾并未被充分回答，或许也不可能被充分回答——因为作者深刻意识到，关于权力、暴力与秩序的追问，注定是一场没有终点的对话。</w:t>
      </w:r>
    </w:p>
    <w:p w14:paraId="58BBA6C0">
      <w:r>
        <w:rPr>
          <w:rFonts w:hint="eastAsia"/>
        </w:rPr>
        <w:t>然而小说毕竟为我们留下了一个明亮而审慎的落点：利维坦式的组织必然因其内在逻辑而走向毁灭，但以此为鉴，人们完全可能重新思考“公共权力应当是什么”这一根本问题，并在废墟之上重建一种将力量置于正义约束之下的秩序。从古老的巫师议会到金斯莱治下的新魔法部，从零散的反抗小组到有组织的凤凰社，魔法世界漫长而崎岖的制度演进，归根结底折射出的，是人们对稳定而和谐的共同生活的朴素追求。这不仅是巫师们的渴望，也是麻瓜们至今仍在寻找的方向。罗琳将这份期望种在了魔法世界里，也种在了每一位读者的心中。前路漫长，但方向已然可辨。</w:t>
      </w:r>
    </w:p>
    <w:bookmarkEnd w:id="3"/>
    <w:sectPr>
      <w:footnotePr>
        <w:numRestart w:val="eachPage"/>
      </w:footnotePr>
      <w:pgSz w:w="11906" w:h="16838"/>
      <w:pgMar w:top="1440" w:right="1800" w:bottom="1440" w:left="180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auto"/>
    <w:pitch w:val="default"/>
    <w:sig w:usb0="E0000AFF" w:usb1="00007843" w:usb2="00000001" w:usb3="00000000" w:csb0="400001BF" w:csb1="DFF70000"/>
  </w:font>
  <w:font w:name="黑体">
    <w:altName w:val="汉仪中黑KW"/>
    <w:panose1 w:val="00000000000000000000"/>
    <w:charset w:val="00"/>
    <w:family w:val="auto"/>
    <w:pitch w:val="default"/>
    <w:sig w:usb0="00000000" w:usb1="00000000" w:usb2="00000000" w:usb3="00000000" w:csb0="00000000" w:csb1="00000000"/>
  </w:font>
  <w:font w:name="楷体">
    <w:altName w:val="汉仪楷体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webkit-standard">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pPr>
        <w:spacing w:line="360" w:lineRule="auto"/>
      </w:pPr>
      <w:r>
        <w:separator/>
      </w:r>
    </w:p>
  </w:footnote>
  <w:footnote w:type="continuationSeparator" w:id="19">
    <w:p>
      <w:pPr>
        <w:spacing w:line="360" w:lineRule="auto"/>
      </w:pPr>
      <w:r>
        <w:continuationSeparator/>
      </w:r>
    </w:p>
  </w:footnote>
  <w:footnote w:id="0">
    <w:p w14:paraId="275E7AD9">
      <w:pPr>
        <w:pStyle w:val="5"/>
      </w:pPr>
      <w:r>
        <w:rPr>
          <w:rStyle w:val="12"/>
        </w:rPr>
        <w:footnoteRef/>
      </w:r>
      <w:r>
        <w:t xml:space="preserve"> </w:t>
      </w:r>
      <w:r>
        <w:rPr>
          <w:rFonts w:hint="eastAsia"/>
        </w:rPr>
        <w:t>霍布斯：《利维坦》，黎思复等译，北京：商务印书馆，2009年，第130页</w:t>
      </w:r>
    </w:p>
  </w:footnote>
  <w:footnote w:id="1">
    <w:p w14:paraId="281B9111">
      <w:pPr>
        <w:pStyle w:val="5"/>
      </w:pPr>
      <w:r>
        <w:rPr>
          <w:rStyle w:val="12"/>
        </w:rPr>
        <w:footnoteRef/>
      </w:r>
      <w:r>
        <w:t xml:space="preserve"> </w:t>
      </w:r>
      <w:r>
        <w:rPr>
          <w:rFonts w:hint="eastAsia"/>
        </w:rPr>
        <w:t>霍布斯：《利维坦》，黎思复等译，北京：商务印书馆，2009年，第99页</w:t>
      </w:r>
    </w:p>
  </w:footnote>
  <w:footnote w:id="2">
    <w:p w14:paraId="5B4F1E80">
      <w:pPr>
        <w:pStyle w:val="5"/>
      </w:pPr>
      <w:r>
        <w:rPr>
          <w:rStyle w:val="12"/>
        </w:rPr>
        <w:footnoteRef/>
      </w:r>
      <w:r>
        <w:t xml:space="preserve"> J. K. </w:t>
      </w:r>
      <w:r>
        <w:rPr>
          <w:rFonts w:hint="eastAsia"/>
        </w:rPr>
        <w:t>罗琳：《哈利·波特与火焰杯》，马爱新译，北京：人民文学出版社，2015年，第499页</w:t>
      </w:r>
    </w:p>
  </w:footnote>
  <w:footnote w:id="3">
    <w:p w14:paraId="5D568FCF">
      <w:pPr>
        <w:pStyle w:val="5"/>
      </w:pPr>
      <w:r>
        <w:rPr>
          <w:rStyle w:val="12"/>
        </w:rPr>
        <w:footnoteRef/>
      </w:r>
      <w:r>
        <w:t xml:space="preserve"> </w:t>
      </w:r>
      <w:r>
        <w:rPr>
          <w:rFonts w:hint="eastAsia"/>
        </w:rPr>
        <w:t>霍布斯：《利维坦》，黎思复等译，北京：商务印书馆，2009年，第11页</w:t>
      </w:r>
    </w:p>
  </w:footnote>
  <w:footnote w:id="4">
    <w:p w14:paraId="4251FBFB">
      <w:pPr>
        <w:pStyle w:val="5"/>
      </w:pPr>
      <w:r>
        <w:rPr>
          <w:rStyle w:val="12"/>
        </w:rPr>
        <w:footnoteRef/>
      </w:r>
      <w:r>
        <w:t xml:space="preserve"> </w:t>
      </w:r>
      <w:r>
        <w:rPr>
          <w:rFonts w:hint="eastAsia"/>
        </w:rPr>
        <w:t>齐泽克：《意识形态的崇高客体》，季广茂译，北京：中央编译出版社，2014年，第26页</w:t>
      </w:r>
    </w:p>
  </w:footnote>
  <w:footnote w:id="5">
    <w:p w14:paraId="31861ED9">
      <w:pPr>
        <w:pStyle w:val="5"/>
      </w:pPr>
      <w:r>
        <w:rPr>
          <w:rStyle w:val="12"/>
        </w:rPr>
        <w:footnoteRef/>
      </w:r>
      <w:r>
        <w:t xml:space="preserve"> </w:t>
      </w:r>
      <w:r>
        <w:rPr>
          <w:rFonts w:hint="eastAsia"/>
        </w:rPr>
        <w:t>恩格斯：《家庭、私有制和国家的起源》，中共中央马克思恩格斯列宁斯大林著作编译局编译，北京：人民出版社，2018年，第190页</w:t>
      </w:r>
    </w:p>
  </w:footnote>
  <w:footnote w:id="6">
    <w:p w14:paraId="1E03492A">
      <w:pPr>
        <w:pStyle w:val="5"/>
      </w:pPr>
      <w:r>
        <w:rPr>
          <w:rStyle w:val="12"/>
        </w:rPr>
        <w:footnoteRef/>
      </w:r>
      <w:r>
        <w:t xml:space="preserve"> </w:t>
      </w:r>
      <w:r>
        <w:rPr>
          <w:rFonts w:hint="eastAsia"/>
        </w:rPr>
        <w:t>米歇尔·福柯：《规训与惩罚》，刘北成等译，北京：生活·读书·新知·三联书店，2012年，第17页</w:t>
      </w:r>
    </w:p>
  </w:footnote>
  <w:footnote w:id="7">
    <w:p w14:paraId="7CBE5728">
      <w:pPr>
        <w:pStyle w:val="5"/>
      </w:pPr>
      <w:r>
        <w:rPr>
          <w:rStyle w:val="12"/>
        </w:rPr>
        <w:footnoteRef/>
      </w:r>
      <w:r>
        <w:t xml:space="preserve"> J. K. </w:t>
      </w:r>
      <w:r>
        <w:rPr>
          <w:rFonts w:hint="eastAsia"/>
        </w:rPr>
        <w:t>罗琳：《哈利·波特与火焰杯》，马爱新译，北京：人民文学出版社，2014年，第381页</w:t>
      </w:r>
    </w:p>
  </w:footnote>
  <w:footnote w:id="8">
    <w:p w14:paraId="1ABE4228">
      <w:pPr>
        <w:pStyle w:val="5"/>
      </w:pPr>
      <w:r>
        <w:rPr>
          <w:rStyle w:val="12"/>
        </w:rPr>
        <w:footnoteRef/>
      </w:r>
      <w:r>
        <w:t xml:space="preserve"> </w:t>
      </w:r>
      <w:r>
        <w:rPr>
          <w:rFonts w:hint="eastAsia"/>
        </w:rPr>
        <w:t>阿伦特：《极权主义的起源》，林骧华译，北京：生活·读书·新知三联书店，2014年，第590页</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isplayBackgroundShape w:val="1"/>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Page"/>
    <w:footnote w:id="18"/>
    <w:footnote w:id="19"/>
  </w:footnotePr>
  <w:endnotePr>
    <w:endnote w:id="0"/>
    <w:endnote w:id="1"/>
  </w:endnotePr>
  <w:compat>
    <w:doNotExpandShiftReturn/>
    <w:doNotWrapTextWithPunct/>
    <w:doNotUseEastAsianBreakRules/>
    <w:useFELayout/>
    <w:compatSetting w:name="compatibilityMode" w:uri="http://schemas.microsoft.com/office/word" w:val="15"/>
  </w:compat>
  <w:rsids>
    <w:rsidRoot w:val="00000000"/>
    <w:rsid w:val="75BD7DD5"/>
    <w:rsid w:val="F95CE09D"/>
    <w:rsid w:val="FFFF6BD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360" w:lineRule="auto"/>
      <w:ind w:firstLine="420"/>
    </w:pPr>
    <w:rPr>
      <w:rFonts w:ascii="Times New Roman" w:hAnsi="Times New Roman" w:eastAsia="宋体" w:cs="Times New Roman"/>
      <w:sz w:val="21"/>
      <w:szCs w:val="21"/>
      <w:lang w:eastAsia="zh-CN"/>
    </w:rPr>
  </w:style>
  <w:style w:type="paragraph" w:styleId="2">
    <w:name w:val="heading 1"/>
    <w:basedOn w:val="1"/>
    <w:next w:val="1"/>
    <w:qFormat/>
    <w:uiPriority w:val="0"/>
    <w:pPr>
      <w:spacing w:line="360" w:lineRule="auto"/>
      <w:ind w:firstLine="0"/>
      <w:jc w:val="center"/>
      <w:outlineLvl w:val="0"/>
    </w:pPr>
    <w:rPr>
      <w:rFonts w:ascii="Arial" w:hAnsi="Arial" w:eastAsia="黑体"/>
      <w:sz w:val="21"/>
      <w:szCs w:val="21"/>
    </w:rPr>
  </w:style>
  <w:style w:type="paragraph" w:styleId="3">
    <w:name w:val="heading 2"/>
    <w:basedOn w:val="1"/>
    <w:next w:val="1"/>
    <w:qFormat/>
    <w:uiPriority w:val="0"/>
    <w:pPr>
      <w:spacing w:line="360" w:lineRule="auto"/>
      <w:ind w:firstLine="0"/>
      <w:jc w:val="center"/>
      <w:outlineLvl w:val="1"/>
    </w:pPr>
    <w:rPr>
      <w:rFonts w:ascii="Arial" w:hAnsi="Arial" w:eastAsia="黑体"/>
      <w:sz w:val="21"/>
      <w:szCs w:val="21"/>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4">
    <w:name w:val="caption"/>
    <w:basedOn w:val="1"/>
    <w:qFormat/>
    <w:uiPriority w:val="0"/>
    <w:pPr>
      <w:spacing w:line="360" w:lineRule="auto"/>
      <w:ind w:firstLine="0"/>
      <w:jc w:val="center"/>
    </w:pPr>
    <w:rPr>
      <w:rFonts w:ascii="Times New Roman" w:hAnsi="Times New Roman" w:eastAsia="宋体"/>
      <w:sz w:val="21"/>
      <w:szCs w:val="21"/>
    </w:rPr>
  </w:style>
  <w:style w:type="paragraph" w:styleId="5">
    <w:name w:val="footnote text"/>
    <w:basedOn w:val="1"/>
    <w:semiHidden/>
    <w:unhideWhenUsed/>
    <w:uiPriority w:val="0"/>
    <w:pPr>
      <w:spacing w:line="240" w:lineRule="auto"/>
      <w:ind w:firstLine="0"/>
    </w:pPr>
    <w:rPr>
      <w:rFonts w:ascii="Times New Roman" w:hAnsi="Times New Roman" w:eastAsia="宋体"/>
      <w:sz w:val="18"/>
      <w:szCs w:val="18"/>
    </w:rPr>
  </w:style>
  <w:style w:type="paragraph" w:styleId="6">
    <w:name w:val="Title"/>
    <w:basedOn w:val="1"/>
    <w:next w:val="7"/>
    <w:qFormat/>
    <w:uiPriority w:val="0"/>
    <w:pPr>
      <w:spacing w:line="360" w:lineRule="auto"/>
      <w:ind w:firstLine="0"/>
      <w:jc w:val="center"/>
    </w:pPr>
    <w:rPr>
      <w:rFonts w:ascii="Arial" w:hAnsi="Arial" w:eastAsia="黑体"/>
      <w:b/>
      <w:sz w:val="28"/>
      <w:szCs w:val="28"/>
    </w:rPr>
  </w:style>
  <w:style w:type="paragraph" w:customStyle="1" w:styleId="7">
    <w:name w:val="Author"/>
    <w:basedOn w:val="1"/>
    <w:next w:val="1"/>
    <w:uiPriority w:val="0"/>
    <w:pPr>
      <w:spacing w:line="360" w:lineRule="auto"/>
      <w:ind w:firstLine="0"/>
      <w:jc w:val="center"/>
    </w:pPr>
    <w:rPr>
      <w:rFonts w:ascii="Times New Roman" w:hAnsi="Times New Roman" w:eastAsia="楷体"/>
      <w:sz w:val="21"/>
      <w:szCs w:val="21"/>
    </w:rPr>
  </w:style>
  <w:style w:type="character" w:styleId="10">
    <w:name w:val="Strong"/>
    <w:qFormat/>
    <w:uiPriority w:val="0"/>
    <w:rPr>
      <w:b/>
      <w:bCs/>
    </w:rPr>
  </w:style>
  <w:style w:type="character" w:styleId="11">
    <w:name w:val="Hyperlink"/>
    <w:unhideWhenUsed/>
    <w:uiPriority w:val="99"/>
    <w:rPr>
      <w:color w:val="0563C1"/>
      <w:u w:val="single"/>
    </w:rPr>
  </w:style>
  <w:style w:type="character" w:styleId="12">
    <w:name w:val="footnote reference"/>
    <w:semiHidden/>
    <w:unhideWhenUsed/>
    <w:uiPriority w:val="0"/>
    <w:rPr>
      <w:vertAlign w:val="superscript"/>
    </w:rPr>
  </w:style>
  <w:style w:type="paragraph" w:customStyle="1" w:styleId="13">
    <w:name w:val="Source Code"/>
    <w:basedOn w:val="1"/>
    <w:uiPriority w:val="0"/>
    <w:pPr>
      <w:wordWrap w:val="0"/>
    </w:pPr>
  </w:style>
  <w:style w:type="character" w:customStyle="1" w:styleId="14">
    <w:name w:val="KeywordTok"/>
    <w:uiPriority w:val="0"/>
    <w:rPr>
      <w:b/>
      <w:color w:val="007020"/>
    </w:rPr>
  </w:style>
  <w:style w:type="character" w:customStyle="1" w:styleId="15">
    <w:name w:val="DataTypeTok"/>
    <w:uiPriority w:val="0"/>
    <w:rPr>
      <w:color w:val="902000"/>
    </w:rPr>
  </w:style>
  <w:style w:type="character" w:customStyle="1" w:styleId="16">
    <w:name w:val="DecValTok"/>
    <w:uiPriority w:val="0"/>
    <w:rPr>
      <w:color w:val="40A070"/>
    </w:rPr>
  </w:style>
  <w:style w:type="character" w:customStyle="1" w:styleId="17">
    <w:name w:val="BaseNTok"/>
    <w:uiPriority w:val="0"/>
    <w:rPr>
      <w:color w:val="40A070"/>
    </w:rPr>
  </w:style>
  <w:style w:type="character" w:customStyle="1" w:styleId="18">
    <w:name w:val="FloatTok"/>
    <w:uiPriority w:val="0"/>
    <w:rPr>
      <w:color w:val="40A070"/>
    </w:rPr>
  </w:style>
  <w:style w:type="character" w:customStyle="1" w:styleId="19">
    <w:name w:val="ConstantTok"/>
    <w:uiPriority w:val="0"/>
    <w:rPr>
      <w:color w:val="880000"/>
    </w:rPr>
  </w:style>
  <w:style w:type="character" w:customStyle="1" w:styleId="20">
    <w:name w:val="CharTok"/>
    <w:uiPriority w:val="0"/>
    <w:rPr>
      <w:color w:val="4070A0"/>
    </w:rPr>
  </w:style>
  <w:style w:type="character" w:customStyle="1" w:styleId="21">
    <w:name w:val="SpecialCharTok"/>
    <w:uiPriority w:val="0"/>
    <w:rPr>
      <w:color w:val="4070A0"/>
    </w:rPr>
  </w:style>
  <w:style w:type="character" w:customStyle="1" w:styleId="22">
    <w:name w:val="StringTok"/>
    <w:uiPriority w:val="0"/>
    <w:rPr>
      <w:color w:val="4070A0"/>
    </w:rPr>
  </w:style>
  <w:style w:type="character" w:customStyle="1" w:styleId="23">
    <w:name w:val="VerbatimStringTok"/>
    <w:uiPriority w:val="0"/>
    <w:rPr>
      <w:color w:val="4070A0"/>
    </w:rPr>
  </w:style>
  <w:style w:type="character" w:customStyle="1" w:styleId="24">
    <w:name w:val="SpecialStringTok"/>
    <w:uiPriority w:val="0"/>
    <w:rPr>
      <w:color w:val="BB6688"/>
    </w:rPr>
  </w:style>
  <w:style w:type="character" w:customStyle="1" w:styleId="25">
    <w:name w:val="ImportTok"/>
    <w:uiPriority w:val="0"/>
    <w:rPr>
      <w:b/>
      <w:color w:val="008000"/>
    </w:rPr>
  </w:style>
  <w:style w:type="character" w:customStyle="1" w:styleId="26">
    <w:name w:val="CommentTok"/>
    <w:uiPriority w:val="0"/>
    <w:rPr>
      <w:i/>
      <w:color w:val="60A0B0"/>
    </w:rPr>
  </w:style>
  <w:style w:type="character" w:customStyle="1" w:styleId="27">
    <w:name w:val="DocumentationTok"/>
    <w:uiPriority w:val="0"/>
    <w:rPr>
      <w:i/>
      <w:color w:val="BA2121"/>
    </w:rPr>
  </w:style>
  <w:style w:type="character" w:customStyle="1" w:styleId="28">
    <w:name w:val="AnnotationTok"/>
    <w:uiPriority w:val="0"/>
    <w:rPr>
      <w:b/>
      <w:i/>
      <w:color w:val="60A0B0"/>
    </w:rPr>
  </w:style>
  <w:style w:type="character" w:customStyle="1" w:styleId="29">
    <w:name w:val="CommentVarTok"/>
    <w:uiPriority w:val="0"/>
    <w:rPr>
      <w:b/>
      <w:i/>
      <w:color w:val="60A0B0"/>
    </w:rPr>
  </w:style>
  <w:style w:type="character" w:customStyle="1" w:styleId="30">
    <w:name w:val="OtherTok"/>
    <w:uiPriority w:val="0"/>
    <w:rPr>
      <w:color w:val="007020"/>
    </w:rPr>
  </w:style>
  <w:style w:type="character" w:customStyle="1" w:styleId="31">
    <w:name w:val="FunctionTok"/>
    <w:uiPriority w:val="0"/>
    <w:rPr>
      <w:color w:val="06287E"/>
    </w:rPr>
  </w:style>
  <w:style w:type="character" w:customStyle="1" w:styleId="32">
    <w:name w:val="VariableTok"/>
    <w:uiPriority w:val="0"/>
    <w:rPr>
      <w:color w:val="19177C"/>
    </w:rPr>
  </w:style>
  <w:style w:type="character" w:customStyle="1" w:styleId="33">
    <w:name w:val="ControlFlowTok"/>
    <w:uiPriority w:val="0"/>
    <w:rPr>
      <w:b/>
      <w:color w:val="007020"/>
    </w:rPr>
  </w:style>
  <w:style w:type="character" w:customStyle="1" w:styleId="34">
    <w:name w:val="OperatorTok"/>
    <w:uiPriority w:val="0"/>
    <w:rPr>
      <w:color w:val="666666"/>
    </w:rPr>
  </w:style>
  <w:style w:type="character" w:customStyle="1" w:styleId="35">
    <w:name w:val="BuiltInTok"/>
    <w:uiPriority w:val="0"/>
    <w:rPr>
      <w:color w:val="008000"/>
    </w:rPr>
  </w:style>
  <w:style w:type="character" w:customStyle="1" w:styleId="36">
    <w:name w:val="ExtensionTok"/>
    <w:uiPriority w:val="0"/>
  </w:style>
  <w:style w:type="character" w:customStyle="1" w:styleId="37">
    <w:name w:val="PreprocessorTok"/>
    <w:uiPriority w:val="0"/>
    <w:rPr>
      <w:color w:val="BC7A00"/>
    </w:rPr>
  </w:style>
  <w:style w:type="character" w:customStyle="1" w:styleId="38">
    <w:name w:val="AttributeTok"/>
    <w:uiPriority w:val="0"/>
    <w:rPr>
      <w:color w:val="7D9029"/>
    </w:rPr>
  </w:style>
  <w:style w:type="character" w:customStyle="1" w:styleId="39">
    <w:name w:val="RegionMarkerTok"/>
    <w:uiPriority w:val="0"/>
  </w:style>
  <w:style w:type="character" w:customStyle="1" w:styleId="40">
    <w:name w:val="InformationTok"/>
    <w:uiPriority w:val="0"/>
    <w:rPr>
      <w:b/>
      <w:i/>
      <w:color w:val="60A0B0"/>
    </w:rPr>
  </w:style>
  <w:style w:type="character" w:customStyle="1" w:styleId="41">
    <w:name w:val="WarningTok"/>
    <w:uiPriority w:val="0"/>
    <w:rPr>
      <w:b/>
      <w:i/>
      <w:color w:val="60A0B0"/>
    </w:rPr>
  </w:style>
  <w:style w:type="character" w:customStyle="1" w:styleId="42">
    <w:name w:val="AlertTok"/>
    <w:uiPriority w:val="0"/>
    <w:rPr>
      <w:b/>
      <w:color w:val="FF0000"/>
    </w:rPr>
  </w:style>
  <w:style w:type="character" w:customStyle="1" w:styleId="43">
    <w:name w:val="ErrorTok"/>
    <w:uiPriority w:val="0"/>
    <w:rPr>
      <w:b/>
      <w:color w:val="FF0000"/>
    </w:rPr>
  </w:style>
  <w:style w:type="character" w:customStyle="1" w:styleId="44">
    <w:name w:val="NormalTok"/>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Office_12.1.25869.25869_F1E327BC-269C-435d-A152-05C5408002CA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2026-05-10T23:50:00Z</dcterms:created>
  <dc:creator>郭嘉乐　2025013332　gjl25@mails.tsinghua.edu.cn</dc:creator>
  <cp:lastModifiedBy>郭嘉乐(2025013332)</cp:lastModifiedBy>
  <dcterms:modified xsi:type="dcterms:W3CDTF">2026-05-10T23:54:52Z</dcterms:modified>
  <dc:title>建立在恐怖上的秩序：乱世中魔法部与食死徒的趋同选择</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2ED58E165083C04E3CAA006A143E038E_42</vt:lpwstr>
  </property>
</Properties>
</file>