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Controlling cortex in real time: state-dependent limits of closed-loop optogenetic regulation</w:t>
      </w:r>
    </w:p>
    <w:p/>
    <w:p>
      <w:pPr>
        <w:spacing w:after="0" w:line="280" w:lineRule="exact"/>
        <w:jc w:val="both"/>
      </w:pPr>
      <w:r>
        <w:rPr>
          <w:sz w:val="22"/>
        </w:rPr>
        <w:t>Single-trial cortical responses to optogenetic perturbation are nonlinear and vary with brain state, yet averaging across many trials yields a stable, approximately stationary response that a low-order linear time-invariant (LTI) model captures well. We exploited this to build a data-driven closed-loop controller, and then inverted the controller into an instrument for discovering what brain states limit its own performance. In adult transgenic mice co-expressing GCaMP6 and an inhibitory opsin (n=2 male mice, 13 sessions; sex differences not assessed; exploratory study), wide-field calcium imaging (35 Hz) provided real-time ΔF/F feedback over a target cortical region while a galvanometer-steered laser stimulated an adjacent region. Impulse- and step-response experiments (0–1.8 mW, ~90 trials/amplitude) established the LTI input–output structure (R²=0.51–0.99 across sessions), from which we derived a proportional-integral controller with feedforward compensation. Across all 13 sessions, closed-loop control outperformed open-loop stimulation, reducing cross-trial variance by 40.7% during stimulation (p=0.0005; 12/13 sessions) and per-trial tracking error (MSE) by 19.3% (p=0.0002; pooled rank-sum p=1.7×10⁻²⁶), while leaving pre-stimulus variance unchanged (p=0.34) — signatures of active disturbance rejection. By the internal model principle, a controller that regulates a system well must implicitly embody a model of its dynamics; trials it fails to track therefore mark states where cortical dynamics depart from that model. Using per-trial error as a readout of this mismatch, we identified two brain-state variables governing controllability. The closed-loop advantage grew with arousal: at high movement CL cut tracking error by 32% versus open-loop (p&lt;10⁻⁴), whereas at low movement the two were indistinguishable (p=0.28), consistent with cortex behaving more linearly in desynchronized states. Conversely, after excluding movement, elevated pre-stimulus delta (1–4 Hz) power predicted poorer tracking (+24% in high-error trials, p&lt;10⁻⁶), identifying synchronized low-arousal states as the residual limit on control. A data-driven controller thus both regulates mesoscale cortex and reveals the brain-state dependence of its own controllability.</w:t>
      </w:r>
    </w:p>
    <w:p/>
    <w:p>
      <w:r>
        <w:rPr>
          <w:b/>
          <w:color w:val="2266BB"/>
          <w:sz w:val="18"/>
        </w:rPr>
        <w:t>SfN character count (excl. spaces): 1971 / 2,300  |  Headroom: 329</w:t>
      </w:r>
    </w:p>
    <w:p/>
    <w:p>
      <w:r>
        <w:rPr>
          <w:b/>
          <w:sz w:val="20"/>
        </w:rPr>
        <w:t>Verified statistics  (n=13 sessions, 2 mice; motion rows: 9 sessions)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D6E4F7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1584"/>
            <w:shd w:val="clear" w:color="auto" w:fill="D6E4F7"/>
          </w:tcPr>
          <w:p>
            <w:r>
              <w:rPr>
                <w:b/>
                <w:sz w:val="16"/>
              </w:rPr>
              <w:t>OL (mean±SEM)</w:t>
            </w:r>
          </w:p>
        </w:tc>
        <w:tc>
          <w:tcPr>
            <w:tcW w:type="dxa" w:w="1584"/>
            <w:shd w:val="clear" w:color="auto" w:fill="D6E4F7"/>
          </w:tcPr>
          <w:p>
            <w:r>
              <w:rPr>
                <w:b/>
                <w:sz w:val="16"/>
              </w:rPr>
              <w:t>CL (mean±SEM)</w:t>
            </w:r>
          </w:p>
        </w:tc>
        <w:tc>
          <w:tcPr>
            <w:tcW w:type="dxa" w:w="2520"/>
            <w:shd w:val="clear" w:color="auto" w:fill="D6E4F7"/>
          </w:tcPr>
          <w:p>
            <w:r>
              <w:rPr>
                <w:b/>
                <w:sz w:val="16"/>
              </w:rPr>
              <w:t>Effect</w:t>
            </w:r>
          </w:p>
        </w:tc>
        <w:tc>
          <w:tcPr>
            <w:tcW w:type="dxa" w:w="2592"/>
            <w:shd w:val="clear" w:color="auto" w:fill="D6E4F7"/>
          </w:tcPr>
          <w:p>
            <w:r>
              <w:rPr>
                <w:b/>
                <w:sz w:val="16"/>
              </w:rPr>
              <w:t>Test / p-value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Cross-trial variance — stim (0–3 s)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6.17 ± 1.11 (ΔF/F)²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3.66 ± 0.72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OL/CL = 1.83 ± 0.17; −40.7%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Wilcoxon  p = 0.0005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Cross-trial variance — pre-stim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7.13 ± 1.39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7.45 ± 1.36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OL/CL = 0.95  (no effect)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Wilcoxon  p = 0.34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Cross-trial variance — post-stim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6.72 ± 1.33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6.89 ± 1.23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OL/CL = 0.98  (no effect)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Wilcoxon  p = 0.64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Trial MSE, 0–3 s  (session medians)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27.27 ± 1.66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22.05 ± 1.73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−19.3%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Wilcoxon  p = 0.0002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Trial MSE — pooled trials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718 OL trials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752 CL trials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Rank-sum  p = 1.7×10⁻²⁶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Sessions with OL/CL variance &gt; 1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12 / 13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Motion Q4 (high) MSE — OL vs CL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29.8 ± 1.0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20.3 ± 0.5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CL −32%; gap +9.5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Rank-sum  p &lt; 10⁻⁴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Motion Q1 (low) MSE — OL vs CL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33.5 ± 1.8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30.5 ± 1.3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gap +3.0 (n.s.)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Rank-sum  p = 0.28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Pre-stim delta power: low vs high MSE (CL, motion-clean)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0.040 (low MSE)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0.049 (high MSE)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+24%; r = 0.35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Rank-sum  p = 2.7×10⁻⁷</w:t>
            </w:r>
          </w:p>
        </w:tc>
      </w:tr>
    </w:tbl>
    <w:p/>
    <w:p>
      <w:r>
        <w:rPr>
          <w:b/>
          <w:sz w:val="20"/>
        </w:rPr>
        <w:t>Before submitting  (deadline: June 10, 5 pm EDT):</w:t>
      </w:r>
    </w:p>
    <w:p>
      <w:pPr>
        <w:pStyle w:val="ListBullet"/>
      </w:pPr>
      <w:r>
        <w:rPr>
          <w:sz w:val="20"/>
        </w:rPr>
        <w:t>Add r and p values for 1–4 Hz pre-stim frequency finding — run prestim_variance.m.</w:t>
      </w:r>
    </w:p>
    <w:p>
      <w:pPr>
        <w:pStyle w:val="ListBullet"/>
      </w:pPr>
      <w:r>
        <w:rPr>
          <w:sz w:val="20"/>
        </w:rPr>
        <w:t>Fill author names and department affiliations (main.tex placeholders still open).</w:t>
      </w:r>
    </w:p>
    <w:p>
      <w:pPr>
        <w:pStyle w:val="ListBullet"/>
      </w:pPr>
      <w:r>
        <w:rPr>
          <w:sz w:val="20"/>
        </w:rPr>
        <w:t>Confirm submitting author has active individual SfN membership.</w:t>
      </w:r>
    </w:p>
    <w:p>
      <w:pPr>
        <w:pStyle w:val="ListBullet"/>
      </w:pPr>
      <w:r>
        <w:rPr>
          <w:sz w:val="20"/>
        </w:rPr>
        <w:t>Select nanosymposium preference in the submission form.</w:t>
      </w:r>
    </w:p>
    <w:p>
      <w:pPr>
        <w:pStyle w:val="ListBullet"/>
      </w:pPr>
      <w:r>
        <w:rPr>
          <w:sz w:val="20"/>
        </w:rPr>
        <w:t>Pick theme area: 'Optogenetics: new tools and approaches' or 'Closed-loop / BMI'.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