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Controlling cortex in real time: state-dependent limits of closed-loop optogenetic regulation</w:t>
      </w:r>
    </w:p>
    <w:p/>
    <w:p>
      <w:pPr>
        <w:spacing w:after="0" w:line="280" w:lineRule="exact"/>
        <w:jc w:val="both"/>
      </w:pPr>
      <w:r>
        <w:rPr>
          <w:sz w:val="22"/>
        </w:rPr>
        <w:t>Mesoscale cortical activity is typically perturbed open-loop; whether active feedback control can reliably regulate it—and what limits that control—remains largely untested. We developed a data-driven, closed-loop optogenetic controller for population activity and used control-theoretic analysis to show that its performance is systematically shaped by brain state. In adult transgenic mice co-expressing GCaMP6 and an inhibitory opsin (n=2 male mice, 13 sessions; sex differences not assessed; exploratory study), wide-field calcium imaging (35 Hz) provided real-time ΔF/F feedback over a target cortical region while a galvanometer-steered laser stimulated an adjacent region. Although single-trial responses were nonlinear and state-dependent, averaging across many trials yielded a stable, approximately stationary response well captured by a low-order linear time-invariant (LTI) model: impulse- and step-response experiments (0–1.8 mW, ~90 trials/amplitude) fixed the input–output structure (R²=0.51–0.99 across sessions), from which we derived a proportional-integral controller with feedforward compensation. Across all 13 sessions, closed-loop control reduced cross-trial variance by 40.7% during stimulation (signed-rank p=0.0005; 12/13 sessions) and per-trial tracking error (MSE) by 19.3% (p=0.0002), while leaving pre-stimulus variance unchanged (p=0.34) — active disturbance rejection. We then used the controller as a probe of its own limits: by the internal model principle, a good regulator must implicitly embody a model of the system, so trials it fails to track mark states where cortical dynamics depart from that model and become less predictable. Two independent state variables shaped controllability through opposite mechanisms. Movement acted as a rejectable disturbance — open-loop tracking degraded as movement increased whereas closed-loop tracking remained motion-invariant, so the closed-loop advantage was greatest during movement (interaction p=0.039). Pre-stimulus ΔF/F variance acted as an irreducible limit: high-variance trials were tracked worse under both open- and closed-loop control (per-session rank correlation p=0.0017, 12/13 sessions), because in these less-predictable states the controller's internal model no longer fits and feedback cannot compensate. The controller thus rejects what it can model and fails on what it cannot, both regulating mesoscale cortex and, through its own tracking error, revealing which brain states are controllable.</w:t>
      </w:r>
    </w:p>
    <w:p/>
    <w:p>
      <w:r>
        <w:rPr>
          <w:b/>
          <w:color w:val="2266BB"/>
          <w:sz w:val="18"/>
        </w:rPr>
        <w:t>SfN character count (excl. spaces): 2169 / 2,300  |  Headroom: 131</w:t>
      </w:r>
    </w:p>
    <w:p/>
    <w:p>
      <w:r>
        <w:rPr>
          <w:b/>
          <w:sz w:val="20"/>
        </w:rPr>
        <w:t>Verified statistics — per-session paired tests (session = unit; n=13, or n=9 for motion)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D6E4F7"/>
          </w:tcPr>
          <w:p>
            <w:r>
              <w:rPr>
                <w:b/>
                <w:sz w:val="16"/>
              </w:rPr>
              <w:t>Metric</w:t>
            </w:r>
          </w:p>
        </w:tc>
        <w:tc>
          <w:tcPr>
            <w:tcW w:type="dxa" w:w="1584"/>
            <w:shd w:val="clear" w:color="auto" w:fill="D6E4F7"/>
          </w:tcPr>
          <w:p>
            <w:r>
              <w:rPr>
                <w:b/>
                <w:sz w:val="16"/>
              </w:rPr>
              <w:t>OL (median)</w:t>
            </w:r>
          </w:p>
        </w:tc>
        <w:tc>
          <w:tcPr>
            <w:tcW w:type="dxa" w:w="1584"/>
            <w:shd w:val="clear" w:color="auto" w:fill="D6E4F7"/>
          </w:tcPr>
          <w:p>
            <w:r>
              <w:rPr>
                <w:b/>
                <w:sz w:val="16"/>
              </w:rPr>
              <w:t>CL (median)</w:t>
            </w:r>
          </w:p>
        </w:tc>
        <w:tc>
          <w:tcPr>
            <w:tcW w:type="dxa" w:w="2520"/>
            <w:shd w:val="clear" w:color="auto" w:fill="D6E4F7"/>
          </w:tcPr>
          <w:p>
            <w:r>
              <w:rPr>
                <w:b/>
                <w:sz w:val="16"/>
              </w:rPr>
              <w:t>Effect</w:t>
            </w:r>
          </w:p>
        </w:tc>
        <w:tc>
          <w:tcPr>
            <w:tcW w:type="dxa" w:w="2592"/>
            <w:shd w:val="clear" w:color="auto" w:fill="D6E4F7"/>
          </w:tcPr>
          <w:p>
            <w:r>
              <w:rPr>
                <w:b/>
                <w:sz w:val="16"/>
              </w:rPr>
              <w:t>Test / p-value</w:t>
            </w:r>
          </w:p>
        </w:tc>
      </w:tr>
      <w:tr>
        <w:tc>
          <w:tcPr>
            <w:tcW w:type="dxa" w:w="2880"/>
          </w:tcPr>
          <w:p>
            <w:r>
              <w:rPr>
                <w:sz w:val="16"/>
              </w:rPr>
              <w:t>Cross-trial variance — stim (0–3 s)</w:t>
            </w:r>
          </w:p>
        </w:tc>
        <w:tc>
          <w:tcPr>
            <w:tcW w:type="dxa" w:w="1584"/>
          </w:tcPr>
          <w:p>
            <w:r>
              <w:rPr>
                <w:sz w:val="16"/>
              </w:rPr>
              <w:t>5.27</w:t>
            </w:r>
          </w:p>
        </w:tc>
        <w:tc>
          <w:tcPr>
            <w:tcW w:type="dxa" w:w="1584"/>
          </w:tcPr>
          <w:p>
            <w:r>
              <w:rPr>
                <w:sz w:val="16"/>
              </w:rPr>
              <w:t>2.82</w:t>
            </w:r>
          </w:p>
        </w:tc>
        <w:tc>
          <w:tcPr>
            <w:tcW w:type="dxa" w:w="2520"/>
          </w:tcPr>
          <w:p>
            <w:r>
              <w:rPr>
                <w:sz w:val="16"/>
              </w:rPr>
              <w:t>OL/CL = 1.77; −40.7%</w:t>
            </w:r>
          </w:p>
        </w:tc>
        <w:tc>
          <w:tcPr>
            <w:tcW w:type="dxa" w:w="2592"/>
          </w:tcPr>
          <w:p>
            <w:r>
              <w:rPr>
                <w:sz w:val="16"/>
              </w:rPr>
              <w:t>Signed-rank  p = 0.0005</w:t>
            </w:r>
          </w:p>
        </w:tc>
      </w:tr>
      <w:tr>
        <w:tc>
          <w:tcPr>
            <w:tcW w:type="dxa" w:w="2880"/>
          </w:tcPr>
          <w:p>
            <w:r>
              <w:rPr>
                <w:sz w:val="16"/>
              </w:rPr>
              <w:t>Cross-trial variance — pre-stim</w:t>
            </w:r>
          </w:p>
        </w:tc>
        <w:tc>
          <w:tcPr>
            <w:tcW w:type="dxa" w:w="1584"/>
          </w:tcPr>
          <w:p>
            <w:r>
              <w:rPr>
                <w:sz w:val="16"/>
              </w:rPr>
              <w:t>7.13</w:t>
            </w:r>
          </w:p>
        </w:tc>
        <w:tc>
          <w:tcPr>
            <w:tcW w:type="dxa" w:w="1584"/>
          </w:tcPr>
          <w:p>
            <w:r>
              <w:rPr>
                <w:sz w:val="16"/>
              </w:rPr>
              <w:t>7.45</w:t>
            </w:r>
          </w:p>
        </w:tc>
        <w:tc>
          <w:tcPr>
            <w:tcW w:type="dxa" w:w="2520"/>
          </w:tcPr>
          <w:p>
            <w:r>
              <w:rPr>
                <w:sz w:val="16"/>
              </w:rPr>
              <w:t>OL/CL ≈ 1  (no effect)</w:t>
            </w:r>
          </w:p>
        </w:tc>
        <w:tc>
          <w:tcPr>
            <w:tcW w:type="dxa" w:w="2592"/>
          </w:tcPr>
          <w:p>
            <w:r>
              <w:rPr>
                <w:sz w:val="16"/>
              </w:rPr>
              <w:t>Signed-rank  p = 0.34</w:t>
            </w:r>
          </w:p>
        </w:tc>
      </w:tr>
      <w:tr>
        <w:tc>
          <w:tcPr>
            <w:tcW w:type="dxa" w:w="2880"/>
          </w:tcPr>
          <w:p>
            <w:r>
              <w:rPr>
                <w:sz w:val="16"/>
              </w:rPr>
              <w:t>Trial MSE, 0–3 s  (session medians)</w:t>
            </w:r>
          </w:p>
        </w:tc>
        <w:tc>
          <w:tcPr>
            <w:tcW w:type="dxa" w:w="1584"/>
          </w:tcPr>
          <w:p>
            <w:r>
              <w:rPr>
                <w:sz w:val="16"/>
              </w:rPr>
              <w:t>25.74</w:t>
            </w:r>
          </w:p>
        </w:tc>
        <w:tc>
          <w:tcPr>
            <w:tcW w:type="dxa" w:w="1584"/>
          </w:tcPr>
          <w:p>
            <w:r>
              <w:rPr>
                <w:sz w:val="16"/>
              </w:rPr>
              <w:t>20.77</w:t>
            </w:r>
          </w:p>
        </w:tc>
        <w:tc>
          <w:tcPr>
            <w:tcW w:type="dxa" w:w="2520"/>
          </w:tcPr>
          <w:p>
            <w:r>
              <w:rPr>
                <w:sz w:val="16"/>
              </w:rPr>
              <w:t>−19.3%</w:t>
            </w:r>
          </w:p>
        </w:tc>
        <w:tc>
          <w:tcPr>
            <w:tcW w:type="dxa" w:w="2592"/>
          </w:tcPr>
          <w:p>
            <w:r>
              <w:rPr>
                <w:sz w:val="16"/>
              </w:rPr>
              <w:t>Signed-rank  p = 0.0002</w:t>
            </w:r>
          </w:p>
        </w:tc>
      </w:tr>
      <w:tr>
        <w:tc>
          <w:tcPr>
            <w:tcW w:type="dxa" w:w="2880"/>
          </w:tcPr>
          <w:p>
            <w:r>
              <w:rPr>
                <w:sz w:val="16"/>
              </w:rPr>
              <w:t>Sessions with OL/CL variance &gt; 1</w:t>
            </w:r>
          </w:p>
        </w:tc>
        <w:tc>
          <w:tcPr>
            <w:tcW w:type="dxa" w:w="1584"/>
          </w:tcPr>
          <w:p>
            <w:r>
              <w:rPr>
                <w:sz w:val="16"/>
              </w:rPr>
              <w:t>—</w:t>
            </w:r>
          </w:p>
        </w:tc>
        <w:tc>
          <w:tcPr>
            <w:tcW w:type="dxa" w:w="1584"/>
          </w:tcPr>
          <w:p>
            <w:r>
              <w:rPr>
                <w:sz w:val="16"/>
              </w:rPr>
              <w:t>—</w:t>
            </w:r>
          </w:p>
        </w:tc>
        <w:tc>
          <w:tcPr>
            <w:tcW w:type="dxa" w:w="2520"/>
          </w:tcPr>
          <w:p>
            <w:r>
              <w:rPr>
                <w:sz w:val="16"/>
              </w:rPr>
              <w:t>12 / 13</w:t>
            </w:r>
          </w:p>
        </w:tc>
        <w:tc>
          <w:tcPr>
            <w:tcW w:type="dxa" w:w="2592"/>
          </w:tcPr>
          <w:p>
            <w:r>
              <w:rPr>
                <w:sz w:val="16"/>
              </w:rPr>
              <w:t>—</w:t>
            </w:r>
          </w:p>
        </w:tc>
      </w:tr>
      <w:tr>
        <w:tc>
          <w:tcPr>
            <w:tcW w:type="dxa" w:w="2880"/>
          </w:tcPr>
          <w:p>
            <w:r>
              <w:rPr>
                <w:sz w:val="16"/>
              </w:rPr>
              <w:t>Motion (n=9): OL MSE low→high movement</w:t>
            </w:r>
          </w:p>
        </w:tc>
        <w:tc>
          <w:tcPr>
            <w:tcW w:type="dxa" w:w="1584"/>
          </w:tcPr>
          <w:p>
            <w:r>
              <w:rPr>
                <w:sz w:val="16"/>
              </w:rPr>
              <w:t>23.1 → 27.3</w:t>
            </w:r>
          </w:p>
        </w:tc>
        <w:tc>
          <w:tcPr>
            <w:tcW w:type="dxa" w:w="1584"/>
          </w:tcPr>
          <w:p>
            <w:r>
              <w:rPr>
                <w:sz w:val="16"/>
              </w:rPr>
              <w:t>—</w:t>
            </w:r>
          </w:p>
        </w:tc>
        <w:tc>
          <w:tcPr>
            <w:tcW w:type="dxa" w:w="2520"/>
          </w:tcPr>
          <w:p>
            <w:r>
              <w:rPr>
                <w:sz w:val="16"/>
              </w:rPr>
              <w:t>OL degrades with movement</w:t>
            </w:r>
          </w:p>
        </w:tc>
        <w:tc>
          <w:tcPr>
            <w:tcW w:type="dxa" w:w="2592"/>
          </w:tcPr>
          <w:p>
            <w:r>
              <w:rPr>
                <w:sz w:val="16"/>
              </w:rPr>
              <w:t>per-sess r=+0.25, p=0.055</w:t>
            </w:r>
          </w:p>
        </w:tc>
      </w:tr>
      <w:tr>
        <w:tc>
          <w:tcPr>
            <w:tcW w:type="dxa" w:w="2880"/>
          </w:tcPr>
          <w:p>
            <w:r>
              <w:rPr>
                <w:sz w:val="16"/>
              </w:rPr>
              <w:t>Motion (n=9): CL MSE low→high movement</w:t>
            </w:r>
          </w:p>
        </w:tc>
        <w:tc>
          <w:tcPr>
            <w:tcW w:type="dxa" w:w="1584"/>
          </w:tcPr>
          <w:p>
            <w:r>
              <w:rPr>
                <w:sz w:val="16"/>
              </w:rPr>
              <w:t>—</w:t>
            </w:r>
          </w:p>
        </w:tc>
        <w:tc>
          <w:tcPr>
            <w:tcW w:type="dxa" w:w="1584"/>
          </w:tcPr>
          <w:p>
            <w:r>
              <w:rPr>
                <w:sz w:val="16"/>
              </w:rPr>
              <w:t>19.7 → 19.6</w:t>
            </w:r>
          </w:p>
        </w:tc>
        <w:tc>
          <w:tcPr>
            <w:tcW w:type="dxa" w:w="2520"/>
          </w:tcPr>
          <w:p>
            <w:r>
              <w:rPr>
                <w:sz w:val="16"/>
              </w:rPr>
              <w:t>CL motion-invariant</w:t>
            </w:r>
          </w:p>
        </w:tc>
        <w:tc>
          <w:tcPr>
            <w:tcW w:type="dxa" w:w="2592"/>
          </w:tcPr>
          <w:p>
            <w:r>
              <w:rPr>
                <w:sz w:val="16"/>
              </w:rPr>
              <w:t>per-sess r=+0.11, p=0.36 (n.s.)</w:t>
            </w:r>
          </w:p>
        </w:tc>
      </w:tr>
      <w:tr>
        <w:tc>
          <w:tcPr>
            <w:tcW w:type="dxa" w:w="2880"/>
          </w:tcPr>
          <w:p>
            <w:r>
              <w:rPr>
                <w:sz w:val="16"/>
              </w:rPr>
              <w:t>Motion (n=9): CL advantage larger at high movement</w:t>
            </w:r>
          </w:p>
        </w:tc>
        <w:tc>
          <w:tcPr>
            <w:tcW w:type="dxa" w:w="1584"/>
          </w:tcPr>
          <w:p>
            <w:r>
              <w:rPr>
                <w:sz w:val="16"/>
              </w:rPr>
              <w:t>gap +4.1 (low)</w:t>
            </w:r>
          </w:p>
        </w:tc>
        <w:tc>
          <w:tcPr>
            <w:tcW w:type="dxa" w:w="1584"/>
          </w:tcPr>
          <w:p>
            <w:r>
              <w:rPr>
                <w:sz w:val="16"/>
              </w:rPr>
              <w:t>gap +7.0 (high)</w:t>
            </w:r>
          </w:p>
        </w:tc>
        <w:tc>
          <w:tcPr>
            <w:tcW w:type="dxa" w:w="2520"/>
          </w:tcPr>
          <w:p>
            <w:r>
              <w:rPr>
                <w:sz w:val="16"/>
              </w:rPr>
              <w:t>interaction (rejectable)</w:t>
            </w:r>
          </w:p>
        </w:tc>
        <w:tc>
          <w:tcPr>
            <w:tcW w:type="dxa" w:w="2592"/>
          </w:tcPr>
          <w:p>
            <w:r>
              <w:rPr>
                <w:sz w:val="16"/>
              </w:rPr>
              <w:t>Signed-rank  p = 0.039</w:t>
            </w:r>
          </w:p>
        </w:tc>
      </w:tr>
      <w:tr>
        <w:tc>
          <w:tcPr>
            <w:tcW w:type="dxa" w:w="2880"/>
          </w:tcPr>
          <w:p>
            <w:r>
              <w:rPr>
                <w:sz w:val="16"/>
              </w:rPr>
              <w:t>Pre-stim variance → trial MSE  (OL)</w:t>
            </w:r>
          </w:p>
        </w:tc>
        <w:tc>
          <w:tcPr>
            <w:tcW w:type="dxa" w:w="1584"/>
          </w:tcPr>
          <w:p>
            <w:r>
              <w:rPr>
                <w:sz w:val="16"/>
              </w:rPr>
              <w:t>median r = +0.21</w:t>
            </w:r>
          </w:p>
        </w:tc>
        <w:tc>
          <w:tcPr>
            <w:tcW w:type="dxa" w:w="1584"/>
          </w:tcPr>
          <w:p>
            <w:r>
              <w:rPr>
                <w:sz w:val="16"/>
              </w:rPr>
              <w:t>12/13 sess &gt; 0</w:t>
            </w:r>
          </w:p>
        </w:tc>
        <w:tc>
          <w:tcPr>
            <w:tcW w:type="dxa" w:w="2520"/>
          </w:tcPr>
          <w:p>
            <w:r>
              <w:rPr>
                <w:sz w:val="16"/>
              </w:rPr>
              <w:t>irreducible limit</w:t>
            </w:r>
          </w:p>
        </w:tc>
        <w:tc>
          <w:tcPr>
            <w:tcW w:type="dxa" w:w="2592"/>
          </w:tcPr>
          <w:p>
            <w:r>
              <w:rPr>
                <w:sz w:val="16"/>
              </w:rPr>
              <w:t>Signed-rank  p = 0.0017</w:t>
            </w:r>
          </w:p>
        </w:tc>
      </w:tr>
      <w:tr>
        <w:tc>
          <w:tcPr>
            <w:tcW w:type="dxa" w:w="2880"/>
          </w:tcPr>
          <w:p>
            <w:r>
              <w:rPr>
                <w:sz w:val="16"/>
              </w:rPr>
              <w:t>Pre-stim variance → trial MSE  (CL)</w:t>
            </w:r>
          </w:p>
        </w:tc>
        <w:tc>
          <w:tcPr>
            <w:tcW w:type="dxa" w:w="1584"/>
          </w:tcPr>
          <w:p>
            <w:r>
              <w:rPr>
                <w:sz w:val="16"/>
              </w:rPr>
              <w:t>median r = +0.24</w:t>
            </w:r>
          </w:p>
        </w:tc>
        <w:tc>
          <w:tcPr>
            <w:tcW w:type="dxa" w:w="1584"/>
          </w:tcPr>
          <w:p>
            <w:r>
              <w:rPr>
                <w:sz w:val="16"/>
              </w:rPr>
              <w:t>12/13 sess &gt; 0</w:t>
            </w:r>
          </w:p>
        </w:tc>
        <w:tc>
          <w:tcPr>
            <w:tcW w:type="dxa" w:w="2520"/>
          </w:tcPr>
          <w:p>
            <w:r>
              <w:rPr>
                <w:sz w:val="16"/>
              </w:rPr>
              <w:t>persists under feedback</w:t>
            </w:r>
          </w:p>
        </w:tc>
        <w:tc>
          <w:tcPr>
            <w:tcW w:type="dxa" w:w="2592"/>
          </w:tcPr>
          <w:p>
            <w:r>
              <w:rPr>
                <w:sz w:val="16"/>
              </w:rPr>
              <w:t>Signed-rank  p = 0.0017</w:t>
            </w:r>
          </w:p>
        </w:tc>
      </w:tr>
      <w:tr>
        <w:tc>
          <w:tcPr>
            <w:tcW w:type="dxa" w:w="2880"/>
          </w:tcPr>
          <w:p>
            <w:r>
              <w:rPr>
                <w:sz w:val="16"/>
              </w:rPr>
              <w:t>Motion ⊥ pre-stim variance (independent axes)</w:t>
            </w:r>
          </w:p>
        </w:tc>
        <w:tc>
          <w:tcPr>
            <w:tcW w:type="dxa" w:w="1584"/>
          </w:tcPr>
          <w:p>
            <w:r>
              <w:rPr>
                <w:sz w:val="16"/>
              </w:rPr>
              <w:t>r = −0.009</w:t>
            </w:r>
          </w:p>
        </w:tc>
        <w:tc>
          <w:tcPr>
            <w:tcW w:type="dxa" w:w="1584"/>
          </w:tcPr>
          <w:p>
            <w:r>
              <w:rPr>
                <w:sz w:val="16"/>
              </w:rPr>
              <w:t>—</w:t>
            </w:r>
          </w:p>
        </w:tc>
        <w:tc>
          <w:tcPr>
            <w:tcW w:type="dxa" w:w="2520"/>
          </w:tcPr>
          <w:p>
            <w:r>
              <w:rPr>
                <w:sz w:val="16"/>
              </w:rPr>
              <w:t>two distinct mechanisms</w:t>
            </w:r>
          </w:p>
        </w:tc>
        <w:tc>
          <w:tcPr>
            <w:tcW w:type="dxa" w:w="2592"/>
          </w:tcPr>
          <w:p>
            <w:r>
              <w:rPr>
                <w:sz w:val="16"/>
              </w:rPr>
              <w:t>p = 0.82 (n.s.)</w:t>
            </w:r>
          </w:p>
        </w:tc>
      </w:tr>
      <w:tr>
        <w:tc>
          <w:tcPr>
            <w:tcW w:type="dxa" w:w="2880"/>
          </w:tcPr>
          <w:p>
            <w:r>
              <w:rPr>
                <w:sz w:val="16"/>
              </w:rPr>
              <w:t>[Retired] Delta (1–4 Hz) → trial MSE</w:t>
            </w:r>
          </w:p>
        </w:tc>
        <w:tc>
          <w:tcPr>
            <w:tcW w:type="dxa" w:w="1584"/>
          </w:tcPr>
          <w:p>
            <w:r>
              <w:rPr>
                <w:sz w:val="16"/>
              </w:rPr>
              <w:t>—</w:t>
            </w:r>
          </w:p>
        </w:tc>
        <w:tc>
          <w:tcPr>
            <w:tcW w:type="dxa" w:w="1584"/>
          </w:tcPr>
          <w:p>
            <w:r>
              <w:rPr>
                <w:sz w:val="16"/>
              </w:rPr>
              <w:t>—</w:t>
            </w:r>
          </w:p>
        </w:tc>
        <w:tc>
          <w:tcPr>
            <w:tcW w:type="dxa" w:w="2520"/>
          </w:tcPr>
          <w:p>
            <w:r>
              <w:rPr>
                <w:sz w:val="16"/>
              </w:rPr>
              <w:t>pooled artifact; within-session null</w:t>
            </w:r>
          </w:p>
        </w:tc>
        <w:tc>
          <w:tcPr>
            <w:tcW w:type="dxa" w:w="2592"/>
          </w:tcPr>
          <w:p>
            <w:r>
              <w:rPr>
                <w:sz w:val="16"/>
              </w:rPr>
              <w:t>per-sess p = 0.57</w:t>
            </w:r>
          </w:p>
        </w:tc>
      </w:tr>
    </w:tbl>
    <w:p/>
    <w:p>
      <w:r>
        <w:rPr>
          <w:b/>
          <w:sz w:val="20"/>
        </w:rPr>
        <w:t>Before submitting  (deadline: June 10, 5 pm EDT):</w:t>
      </w:r>
    </w:p>
    <w:p>
      <w:pPr>
        <w:pStyle w:val="ListBullet"/>
      </w:pPr>
      <w:r>
        <w:rPr>
          <w:sz w:val="20"/>
        </w:rPr>
        <w:t>Add r and p values for 1–4 Hz pre-stim frequency finding — run prestim_variance.m.</w:t>
      </w:r>
    </w:p>
    <w:p>
      <w:pPr>
        <w:pStyle w:val="ListBullet"/>
      </w:pPr>
      <w:r>
        <w:rPr>
          <w:sz w:val="20"/>
        </w:rPr>
        <w:t>Fill author names and department affiliations (main.tex placeholders still open).</w:t>
      </w:r>
    </w:p>
    <w:p>
      <w:pPr>
        <w:pStyle w:val="ListBullet"/>
      </w:pPr>
      <w:r>
        <w:rPr>
          <w:sz w:val="20"/>
        </w:rPr>
        <w:t>Confirm submitting author has active individual SfN membership.</w:t>
      </w:r>
    </w:p>
    <w:p>
      <w:pPr>
        <w:pStyle w:val="ListBullet"/>
      </w:pPr>
      <w:r>
        <w:rPr>
          <w:sz w:val="20"/>
        </w:rPr>
        <w:t>Select nanosymposium preference in the submission form.</w:t>
      </w:r>
    </w:p>
    <w:p>
      <w:pPr>
        <w:pStyle w:val="ListBullet"/>
      </w:pPr>
      <w:r>
        <w:rPr>
          <w:sz w:val="20"/>
        </w:rPr>
        <w:t>Pick theme area: 'Optogenetics: new tools and approaches' or 'Closed-loop / BMI'.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