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图片与流程图导出验证</w:t>
      </w:r>
    </w:p>
    <w:p>
      <w:pPr/>
      <w:r>
        <w:rPr/>
        <w:t xml:space="preserve">下方第一张为站内图片，第二张为富文本原生流程图。</w:t>
      </w:r>
    </w:p>
    <w:p>
      <w:r>
        <w:drawing>
          <wp:inline distT="0" distB="0" distL="0" distR="0">
            <wp:extent cx="5334000" cy="2667000"/>
            <wp:docPr id="2" name="站内图片.png"/>
            <a:graphic>
              <a:graphicData uri="http://schemas.openxmlformats.org/drawingml/2006/picture">
                <pic:pic>
                  <pic:nvPicPr>
                    <pic:cNvPr id="0" name="站内图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05500" cy="2230967"/>
            <wp:docPr id="3" name="流程图"/>
            <a:graphic>
              <a:graphicData uri="http://schemas.openxmlformats.org/drawingml/2006/picture">
                <pic:pic>
                  <pic:nvPicPr>
                    <pic:cNvPr id="0" name="流程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3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图片和流程图之后的正文仍然保留。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abstractNum w:abstractNumId="2">
    <w:lvl w:ilvl="0"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8"/>
    </w:rPr>
  </w:style>
  <w:style w:type="paragraph" w:styleId="Heading4">
    <w:name w:val="heading 4"/>
    <w:basedOn w:val="Normal"/>
    <w:qFormat/>
    <w:rPr>
      <w:b/>
      <w:sz w:val="26"/>
    </w:rPr>
  </w:style>
  <w:style w:type="paragraph" w:styleId="Heading5">
    <w:name w:val="heading 5"/>
    <w:basedOn w:val="Normal"/>
    <w:qFormat/>
    <w:rPr>
      <w:b/>
      <w:sz w:val="24"/>
    </w:rPr>
  </w:style>
  <w:style w:type="paragraph" w:styleId="Code">
    <w:name w:val="Code"/>
    <w:basedOn w:val="Normal"/>
    <w:rPr>
      <w:rFonts w:ascii="Courier New" w:hAnsi="Courier New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image" Target="media/image2.svg"/></Relationships>
</file>