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Conversion Roundtrip</w:t>
      </w:r>
    </w:p>
    <w:p>
      <w:pPr/>
      <w:r>
        <w:rPr>
          <w:b/>
        </w:rPr>
        <w:t xml:space="preserve">Bold text</w:t>
      </w:r>
      <w:r>
        <w:rPr/>
        <w:t xml:space="preserve">, </w:t>
      </w:r>
      <w:r>
        <w:rPr>
          <w:i/>
        </w:rPr>
        <w:t xml:space="preserve">italic text</w:t>
      </w:r>
      <w:r>
        <w:rPr/>
        <w:t xml:space="preserve">, and </w:t>
      </w:r>
      <w:hyperlink r:id="rId10">
        <w:r>
          <w:rPr>
            <w:u w:val="single"/>
          </w:rPr>
          <w:t xml:space="preserve">a link</w:t>
        </w:r>
      </w:hyperlink>
    </w:p>
    <w:p>
      <w:pPr>
        <w:numPr>
          <w:ilvl w:val="0"/>
          <w:numId w:val="1"/>
        </w:numPr>
      </w:pPr>
      <w:r>
        <w:rPr/>
        <w:t xml:space="preserve">List item</w:t>
      </w:r>
    </w:p>
    <w:tbl>
      <w:tblPr>
        <w:tblBorders>
          <w:top w:val="single" w:color="D9D9D9"/>
          <w:left w:val="single" w:color="D9D9D9"/>
          <w:bottom w:val="single" w:color="D9D9D9"/>
          <w:right w:val="single" w:color="D9D9D9"/>
          <w:insideH w:val="single" w:color="D9D9D9"/>
          <w:insideV w:val="single" w:color="D9D9D9"/>
        </w:tblBorders>
      </w:tblPr>
      <w:tblGrid>
        <w:gridCol w:w="2700"/>
        <w:gridCol w:w="2700"/>
      </w:tblGrid>
      <w:tr>
        <w:tc>
          <w:tcPr/>
          <w:p>
            <w:r>
              <w:rPr/>
              <w:t xml:space="preserve">Name</w:t>
            </w:r>
          </w:p>
        </w:tc>
        <w:tc>
          <w:tcPr/>
          <w:p>
            <w:r>
              <w:rPr/>
              <w:t xml:space="preserve">Value</w:t>
            </w:r>
          </w:p>
        </w:tc>
      </w:tr>
      <w:tr>
        <w:tc>
          <w:tcPr/>
          <w:p>
            <w:r>
              <w:rPr/>
              <w:t xml:space="preserve">Alpha</w:t>
            </w:r>
          </w:p>
        </w:tc>
        <w:tc>
          <w:tcPr/>
          <w:p>
            <w:r>
              <w:rPr/>
              <w:t xml:space="preserve">One</w:t>
            </w:r>
          </w:p>
        </w:tc>
      </w:tr>
    </w:tbl>
    <w:p>
      <w:pPr>
        <w:pStyle w:val="Code"/>
      </w:pPr>
      <w:r>
        <w:rPr>
          <w:rStyle w:val="CodeChar"/>
        </w:rPr>
        <w:t xml:space="preserve">const ready = true</w:t>
      </w:r>
    </w:p>
    <w:p>
      <w:r>
        <w:drawing>
          <wp:inline distT="0" distB="0" distL="0" distR="0">
            <wp:extent cx="2286000" cy="1428750"/>
            <wp:docPr id="2" name="Fixture image"/>
            <a:graphic>
              <a:graphicData uri="http://schemas.openxmlformats.org/drawingml/2006/picture">
                <pic:pic>
                  <pic:nvPicPr>
                    <pic:cNvPr id="0" name="Fixture imag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abstractNum w:abstractNumId="2">
    <w:lvl w:ilvl="0"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8"/>
    </w:rPr>
  </w:style>
  <w:style w:type="paragraph" w:styleId="Heading4">
    <w:name w:val="heading 4"/>
    <w:basedOn w:val="Normal"/>
    <w:qFormat/>
    <w:rPr>
      <w:b/>
      <w:sz w:val="26"/>
    </w:rPr>
  </w:style>
  <w:style w:type="paragraph" w:styleId="Heading5">
    <w:name w:val="heading 5"/>
    <w:basedOn w:val="Normal"/>
    <w:qFormat/>
    <w:rPr>
      <w:b/>
      <w:sz w:val="24"/>
    </w:rPr>
  </w:style>
  <w:style w:type="paragraph" w:styleId="Code">
    <w:name w:val="Code"/>
    <w:basedOn w:val="Normal"/>
    <w:rPr>
      <w:rFonts w:ascii="Courier New" w:hAnsi="Courier New"/>
    </w:rPr>
  </w:style>
  <w:style w:type="character" w:styleId="CodeChar">
    <w:name w:val="Code Char"/>
    <w:rPr>
      <w:rFonts w:ascii="Courier New" w:hAnsi="Courier Ne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hyperlink" Target="https://example.com" TargetMode="External"/><Relationship Id="rId11" Type="http://schemas.openxmlformats.org/officeDocument/2006/relationships/image" Target="media/image1.png"/></Relationships>
</file>