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DOCUMENT: The Manager must give written notice of a funding shortfall. The Member has 10 business days after receipt to cure the shortfall.</w:t>
      </w:r>
    </w:p>
  </w:body>
</w:document>
</file>