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8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87"/>
      </w:tblGrid>
      <w:tr>
        <w:trPr>
          <w:trHeight w:val="838" w:hRule="atLeast"/>
        </w:trPr>
        <w:tc>
          <w:tcPr>
            <w:tcW w:w="109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i/>
                <w:i/>
                <w:sz w:val="20"/>
                <w:szCs w:val="20"/>
              </w:rPr>
            </w:pPr>
            <w: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5885180</wp:posOffset>
                  </wp:positionH>
                  <wp:positionV relativeFrom="paragraph">
                    <wp:posOffset>16510</wp:posOffset>
                  </wp:positionV>
                  <wp:extent cx="949325" cy="537210"/>
                  <wp:effectExtent l="0" t="0" r="0" b="0"/>
                  <wp:wrapNone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" t="-7" r="-4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325" cy="53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  <w:sz w:val="20"/>
                <w:szCs w:val="20"/>
              </w:rPr>
              <w:t>Smart Electric Hungary Kft</w:t>
            </w:r>
          </w:p>
          <w:p>
            <w:pPr>
              <w:pStyle w:val="Normal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1158, Budapest, Molnár Viktor utca 85</w:t>
            </w:r>
          </w:p>
          <w:p>
            <w:pPr>
              <w:pStyle w:val="Normal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A.sz.:26707549-2-42</w:t>
            </w:r>
          </w:p>
          <w:p>
            <w:pPr>
              <w:pStyle w:val="Normal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www.smartelectrichungary.com</w:t>
            </w:r>
          </w:p>
        </w:tc>
      </w:tr>
      <w:tr>
        <w:trPr>
          <w:trHeight w:val="13556" w:hRule="atLeast"/>
        </w:trPr>
        <w:tc>
          <w:tcPr>
            <w:tcW w:w="109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Munkaszám: 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/>
                <w:caps/>
                <w:sz w:val="36"/>
                <w:szCs w:val="36"/>
              </w:rPr>
            </w:pPr>
            <w:r>
              <w:rPr>
                <w:b/>
                <w:caps/>
                <w:sz w:val="36"/>
                <w:szCs w:val="36"/>
              </w:rPr>
              <w:t>villamos biztonsági felülvizsgálat</w:t>
            </w:r>
          </w:p>
          <w:p>
            <w:pPr>
              <w:pStyle w:val="Normal"/>
              <w:jc w:val="center"/>
              <w:rPr>
                <w:sz w:val="32"/>
                <w:szCs w:val="32"/>
              </w:rPr>
            </w:pPr>
            <w:r>
              <w:rPr>
                <w:b/>
                <w:caps/>
                <w:sz w:val="32"/>
                <w:szCs w:val="32"/>
              </w:rPr>
              <w:t xml:space="preserve">VILLAMOS BERENDEZÉS Időszakos ELLENŐRZÉSE </w:t>
            </w:r>
          </w:p>
          <w:p>
            <w:pPr>
              <w:pStyle w:val="Normal"/>
              <w:jc w:val="center"/>
              <w:rPr>
                <w:b/>
                <w:caps/>
                <w:sz w:val="32"/>
                <w:szCs w:val="32"/>
              </w:rPr>
            </w:pPr>
            <w:r>
              <w:rPr>
                <w:b/>
                <w:caps/>
                <w:sz w:val="32"/>
                <w:szCs w:val="32"/>
              </w:rPr>
              <w:t>MSZ HD 60364-6:2017</w:t>
            </w:r>
          </w:p>
          <w:p>
            <w:pPr>
              <w:pStyle w:val="Normal"/>
              <w:jc w:val="both"/>
              <w:rPr>
                <w:b/>
                <w:caps/>
                <w:sz w:val="32"/>
                <w:szCs w:val="32"/>
              </w:rPr>
            </w:pPr>
            <w:r>
              <w:rPr>
                <w:b/>
                <w:caps/>
                <w:sz w:val="32"/>
                <w:szCs w:val="32"/>
              </w:rPr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/>
              </w:rPr>
              <w:t>A felülvizsgálat helye:</w:t>
            </w:r>
            <w:r>
              <w:rPr>
                <w:bCs/>
              </w:rPr>
              <w:t xml:space="preserve"> </w:t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/>
              </w:rPr>
              <w:t>Megrendelő cég adatai:</w:t>
            </w:r>
            <w:r>
              <w:rPr>
                <w:bCs/>
              </w:rPr>
              <w:t xml:space="preserve"> Spar Magyarország kereskedelmi Kft. – 2060, Bicske, Spar út hrsz.: 0326/1</w:t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/>
              </w:rPr>
              <w:t>Az üzemi kísérő(k) vagy a megbízó részéről kijelölt kapcsolattartó(k) neve:</w:t>
            </w:r>
            <w:r>
              <w:rPr>
                <w:bCs/>
              </w:rPr>
              <w:t xml:space="preserve"> </w:t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jc w:val="both"/>
              <w:rPr/>
            </w:pPr>
            <w:r>
              <w:rPr>
                <w:b/>
              </w:rPr>
              <w:t>A felülvizsgálat időtartama:</w:t>
            </w:r>
            <w:r>
              <w:rPr/>
              <w:t xml:space="preserve"> 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/>
              </w:rPr>
              <w:t>A felelős ellenőrzést végrehajtó:</w:t>
            </w:r>
            <w:r>
              <w:rPr>
                <w:bCs/>
              </w:rPr>
              <w:t xml:space="preserve">  Nyikos Dániel</w:t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  <w:t>Végzettség</w:t>
            </w:r>
            <w:r>
              <w:rPr>
                <w:b/>
                <w:vertAlign w:val="superscript"/>
              </w:rPr>
              <w:t>*</w:t>
            </w:r>
            <w:r>
              <w:rPr>
                <w:b/>
              </w:rPr>
              <w:t xml:space="preserve">: </w:t>
            </w:r>
            <w:r>
              <w:rPr>
                <w:bCs/>
              </w:rPr>
              <w:t>Villamos Biztonsági Felülvizsgáló</w:t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/>
            </w:pPr>
            <w:r>
              <w:rPr>
                <w:b/>
              </w:rPr>
              <w:t>VBF Vizsgabizonyítványának száma</w:t>
            </w:r>
            <w:r>
              <w:rPr>
                <w:b/>
                <w:vertAlign w:val="superscript"/>
              </w:rPr>
              <w:t>*</w:t>
            </w:r>
            <w:r>
              <w:rPr>
                <w:b/>
              </w:rPr>
              <w:t>:</w:t>
            </w:r>
            <w:r>
              <w:rPr>
                <w:bCs/>
              </w:rPr>
              <w:t xml:space="preserve">  VBF továbbképzés ig sz.: SZVSZ/2025/24/010</w:t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/>
              </w:rPr>
              <w:t>Tűzvédelmi Szakvizsga Vizsgabizonyítványának száma</w:t>
            </w:r>
            <w:r>
              <w:rPr>
                <w:b/>
                <w:vertAlign w:val="superscript"/>
              </w:rPr>
              <w:t>*</w:t>
            </w:r>
            <w:r>
              <w:rPr>
                <w:b/>
              </w:rPr>
              <w:t>:</w:t>
            </w:r>
            <w:r>
              <w:rPr>
                <w:bCs/>
              </w:rPr>
              <w:t xml:space="preserve">  OKVI-1683/14/2025</w:t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vertAlign w:val="superscript"/>
              </w:rPr>
              <w:t>*</w:t>
            </w:r>
            <w:r>
              <w:rPr>
                <w:sz w:val="20"/>
                <w:szCs w:val="20"/>
              </w:rPr>
              <w:t>Amennyiben az MSZ HD 60364-6:2017-et áramütés elleni védelem felülvizsgálataként készítik el, a jelentés készítőjének rendelkeznie kell a 21/2010. (V.14) NFGM rendeletben előírt Érintésvédelmi szabványossági felülvizsgáló (korábbi jogszabályokban előírt végzettségek esetén: Érintésvédelmi, erősáramú berendezés szabványossági felülvizsgáló, Villámvédelem felülvizsgálója) képzettségekkel. Ezen végzettségek igazoló dokumentum másolatát a dokumentációhoz csatolni kell.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Jelen dokumentum megfelel a 40/2017. (XII. 4.) NGM rendelet 2. § 33. pontjának: villamos biztonsági felülvizsgálat: a villamos berendezések olyan részletes - a méréseket és azok számszerű eredményének kiértékelését is tartalmazó - különleges erősáramú villamos szakképzettséget igénylő ellenőrzése, amely alkalmas arra, hogy kimutassa, teljesíti-e az a vonatkozó szabványok vagy azokkal egyenértékű műszaki megoldásokat tartalmazó műszaki előírások valamennyi kritériumát, továbbá a villamos berendezés első ellenőrzéskor és a rendszeresen ismétlődő időszakos vizsgálatok során végzett teljes körű felülvizsgálat, amely magába foglalja a villamos berendezés áramütés elleni védelmének és az általános szabványos állapotának (tűzvédelmi jellegű) vizsgálatát – 27/2020. (VII. 16.) ITM rendelet általi módosítás.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  <w:t>Tartalom:</w:t>
            </w:r>
          </w:p>
          <w:p>
            <w:pPr>
              <w:pStyle w:val="Normal"/>
              <w:numPr>
                <w:ilvl w:val="0"/>
                <w:numId w:val="4"/>
              </w:numPr>
              <w:ind w:hanging="0" w:start="0" w:end="0"/>
              <w:jc w:val="both"/>
              <w:rPr/>
            </w:pPr>
            <w:r>
              <w:rPr/>
              <w:t>Alapdokumentáció</w:t>
            </w:r>
            <w:r>
              <w:rPr>
                <w:vertAlign w:val="superscript"/>
              </w:rPr>
              <w:t>**</w:t>
            </w:r>
          </w:p>
          <w:p>
            <w:pPr>
              <w:pStyle w:val="Normal"/>
              <w:numPr>
                <w:ilvl w:val="0"/>
                <w:numId w:val="4"/>
              </w:numPr>
              <w:ind w:hanging="0" w:start="0" w:end="0"/>
              <w:jc w:val="both"/>
              <w:rPr/>
            </w:pPr>
            <w:r>
              <w:rPr/>
              <w:t>Jegyzőkönyvek</w:t>
            </w:r>
            <w:r>
              <w:rPr>
                <w:vertAlign w:val="superscript"/>
              </w:rPr>
              <w:t>***</w:t>
            </w:r>
          </w:p>
          <w:p>
            <w:pPr>
              <w:pStyle w:val="Normal"/>
              <w:numPr>
                <w:ilvl w:val="0"/>
                <w:numId w:val="4"/>
              </w:numPr>
              <w:ind w:hanging="0" w:start="0" w:end="0"/>
              <w:jc w:val="both"/>
              <w:rPr/>
            </w:pPr>
            <w:r>
              <w:rPr/>
              <w:t>Bizonylatok</w:t>
            </w:r>
            <w:r>
              <w:rPr>
                <w:vertAlign w:val="superscript"/>
              </w:rPr>
              <w:t>***</w:t>
            </w:r>
          </w:p>
          <w:p>
            <w:pPr>
              <w:pStyle w:val="Normal"/>
              <w:numPr>
                <w:ilvl w:val="0"/>
                <w:numId w:val="3"/>
              </w:numPr>
              <w:jc w:val="both"/>
              <w:rPr/>
            </w:pPr>
            <w:r>
              <w:rPr/>
              <w:t>Végzettség igazolása</w:t>
            </w:r>
          </w:p>
          <w:p>
            <w:pPr>
              <w:pStyle w:val="Normal"/>
              <w:numPr>
                <w:ilvl w:val="0"/>
                <w:numId w:val="3"/>
              </w:numPr>
              <w:jc w:val="both"/>
              <w:rPr/>
            </w:pPr>
            <w:r>
              <w:rPr/>
              <w:t>EPH bizonylat</w:t>
            </w:r>
          </w:p>
          <w:p>
            <w:pPr>
              <w:pStyle w:val="Normal"/>
              <w:numPr>
                <w:ilvl w:val="0"/>
                <w:numId w:val="3"/>
              </w:numPr>
              <w:jc w:val="both"/>
              <w:rPr/>
            </w:pPr>
            <w:r>
              <w:rPr/>
              <w:t>Nem minősített vagy el nem készült villamos berendezés részek felmérése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vertAlign w:val="superscript"/>
              </w:rPr>
              <w:t>**</w:t>
            </w:r>
            <w:r>
              <w:rPr>
                <w:sz w:val="18"/>
                <w:szCs w:val="18"/>
              </w:rPr>
              <w:t xml:space="preserve"> – Az Alapdokumentáció tartalmazza a </w:t>
            </w:r>
            <w:r>
              <w:rPr>
                <w:b/>
                <w:i/>
                <w:sz w:val="18"/>
                <w:szCs w:val="18"/>
              </w:rPr>
              <w:t>Tájékoztató megrendelő részére</w:t>
            </w:r>
            <w:r>
              <w:rPr>
                <w:sz w:val="18"/>
                <w:szCs w:val="18"/>
              </w:rPr>
              <w:t xml:space="preserve"> iratot (6. oldal)</w:t>
            </w:r>
          </w:p>
          <w:p>
            <w:pPr>
              <w:pStyle w:val="Normal"/>
              <w:tabs>
                <w:tab w:val="clear" w:pos="708"/>
                <w:tab w:val="center" w:pos="-90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*** – Jelen dokumentáció Minősítő Irata csak ezen jegyzőkönyvekkel és bizonylatokkal EGYÜTT érvényes.</w:t>
            </w:r>
          </w:p>
          <w:p>
            <w:pPr>
              <w:pStyle w:val="Normal"/>
              <w:tabs>
                <w:tab w:val="clear" w:pos="708"/>
                <w:tab w:val="center" w:pos="-90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  <w:u w:val="single"/>
        </w:rPr>
      </w:pPr>
      <w:r>
        <w:br w:type="page"/>
      </w:r>
      <w:r>
        <w:rPr>
          <w:sz w:val="20"/>
          <w:szCs w:val="20"/>
          <w:u w:val="single"/>
        </w:rPr>
      </w:r>
    </w:p>
    <w:tbl>
      <w:tblPr>
        <w:tblW w:w="109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40"/>
      </w:tblGrid>
      <w:tr>
        <w:trPr>
          <w:trHeight w:val="529" w:hRule="atLeast"/>
        </w:trPr>
        <w:tc>
          <w:tcPr>
            <w:tcW w:w="10940" w:type="dxa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VILLAMOS BERENDEZÉS IDŐSZAKOS ELLENŐRZÉSE</w:t>
            </w:r>
          </w:p>
          <w:p>
            <w:pPr>
              <w:pStyle w:val="Normal"/>
              <w:ind w:start="720" w:end="0"/>
              <w:jc w:val="center"/>
              <w:rPr>
                <w:cap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MSZ HD 60364-6:2017</w:t>
            </w:r>
          </w:p>
        </w:tc>
      </w:tr>
      <w:tr>
        <w:trPr>
          <w:trHeight w:val="12362" w:hRule="atLeast"/>
        </w:trPr>
        <w:tc>
          <w:tcPr>
            <w:tcW w:w="10940" w:type="dxa"/>
            <w:tcBorders>
              <w:top w:val="single" w:sz="8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caps/>
                <w:sz w:val="16"/>
                <w:szCs w:val="16"/>
                <w:u w:val="single"/>
              </w:rPr>
            </w:pPr>
            <w:r>
              <w:rPr>
                <w:caps/>
                <w:sz w:val="16"/>
                <w:szCs w:val="16"/>
                <w:u w:val="single"/>
              </w:rPr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Munkaszám:  </w:t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MINŐSÍTŐ IRAT</w:t>
            </w:r>
          </w:p>
          <w:p>
            <w:pPr>
              <w:pStyle w:val="Normal"/>
              <w:spacing w:lineRule="auto" w:line="276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Tárgyi erősáramú villamos berendezésen elvégeztük az MSZ HD 60364-6:2017 szerinti, időszakos felülvizsálatot</w:t>
            </w:r>
          </w:p>
          <w:p>
            <w:pPr>
              <w:pStyle w:val="Normal"/>
              <w:spacing w:lineRule="auto" w:line="276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 felülvizsgált erősáramú berendezés az MSZ HD 60364-6:2017 szerint</w:t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MEGFELELŐ</w:t>
            </w:r>
          </w:p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  <w:p>
            <w:pPr>
              <w:pStyle w:val="Normal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  <w:p>
            <w:pPr>
              <w:pStyle w:val="Normal"/>
              <w:rPr>
                <w:b/>
                <w:bCs/>
                <w:i/>
                <w:i/>
                <w:caps/>
                <w:sz w:val="22"/>
                <w:szCs w:val="22"/>
              </w:rPr>
            </w:pPr>
            <w:r>
              <w:rPr>
                <w:b/>
                <w:bCs/>
                <w:i/>
                <w:caps/>
                <w:sz w:val="22"/>
                <w:szCs w:val="22"/>
              </w:rPr>
              <w:t>A minősített – vizsgált – terület pontos meghatározása:</w:t>
            </w:r>
          </w:p>
          <w:p>
            <w:pPr>
              <w:pStyle w:val="Normal"/>
              <w:rPr>
                <w:b/>
                <w:bCs/>
                <w:i/>
                <w:i/>
                <w:caps/>
                <w:sz w:val="22"/>
                <w:szCs w:val="22"/>
              </w:rPr>
            </w:pPr>
            <w:r>
              <w:rPr>
                <w:b/>
                <w:bCs/>
                <w:i/>
                <w:caps/>
                <w:sz w:val="22"/>
                <w:szCs w:val="22"/>
              </w:rPr>
            </w:r>
          </w:p>
          <w:p>
            <w:pPr>
              <w:pStyle w:val="Normal"/>
              <w:ind w:start="36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Jelen dokumentációban és a mellékletét képező jegyzőkönyvekben és bizonylatokban felsorolt érintésvédelmi módok, rendszerek, kiegészítő védelmek, berendezések, eszközök és áramkörök.</w:t>
            </w:r>
          </w:p>
          <w:p>
            <w:pPr>
              <w:pStyle w:val="Normal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  <w:p>
            <w:pPr>
              <w:pStyle w:val="Normal"/>
              <w:rPr/>
            </w:pPr>
            <w:r>
              <w:rPr>
                <w:bCs/>
                <w:sz w:val="18"/>
                <w:szCs w:val="18"/>
              </w:rPr>
              <w:t>Üzemeltető, felelős vezető, tulajdonos, felhasználó kötelességei:</w:t>
            </w:r>
          </w:p>
          <w:p>
            <w:pPr>
              <w:pStyle w:val="Normal"/>
              <w:ind w:start="360" w:end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708"/>
                <w:tab w:val="left" w:pos="612" w:leader="none"/>
              </w:tabs>
              <w:ind w:hanging="432" w:start="612" w:end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Tárgyi villamos-berendezés rendeltetésszerű használata, illetve ennek biztosítása kötelező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708"/>
                <w:tab w:val="left" w:pos="612" w:leader="none"/>
              </w:tabs>
              <w:ind w:hanging="432" w:start="612" w:end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Tárgyi villamos-berendezés időszakos karbantartása és a tárgyi villamos-berendezésre vonatkozó jogszabályokban előírt felülvizsgálatok és ellenőrzések elvégzése, illetve elvégeztetése kötelező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708"/>
                <w:tab w:val="left" w:pos="612" w:leader="none"/>
              </w:tabs>
              <w:ind w:hanging="432" w:start="612" w:end="0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Tárgyi villamos-berendezésen villamos szakképzettséget igénylő beavatkozást, változtatást, felújítást, karbantartást és egyéb tevékenységet csak villamosan szakképzett és arra felhatalmazott személy végezhet a hatályos jogszabályok előírásainak és vonatkozó szabványok követelményeinek betartásával.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708"/>
                <w:tab w:val="left" w:pos="612" w:leader="none"/>
              </w:tabs>
              <w:ind w:hanging="432" w:start="612" w:end="0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Tárgyi villamos-berendezésen történt bármilyen szakszerű változtatás után az érintett szakaszon és a változtatás által érintésvédelmi szempontból érintett, már meglévő szakaszon az előírt érintésvédelemmel kapcsolatos vizsgálatokat el kell végezni – az erre vonatkozó jogszabályokat és előírásokat, illetve ezek változásait nyomon kell követni és be kell tartani, illetve tartatni.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708"/>
                <w:tab w:val="left" w:pos="612" w:leader="none"/>
              </w:tabs>
              <w:ind w:hanging="432" w:start="612" w:end="0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40/2017. (XII. 4.) NGM rendelet az összekötő és felhasználói berendezésekről, valamint a potenciálisan robbanásveszélyes közegben működő villamos berendezésekről és védelmi rendszerekről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708"/>
                <w:tab w:val="left" w:pos="612" w:leader="none"/>
              </w:tabs>
              <w:ind w:hanging="432" w:start="612" w:end="0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10/2016. (IV. 5.) NGM rendelet 19. § előírásainak betartása – amennyiben vonatkoznak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708"/>
                <w:tab w:val="left" w:pos="612" w:leader="none"/>
              </w:tabs>
              <w:ind w:hanging="432" w:start="612" w:end="0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54/2014 (XII. 5) BM rendeletben foglalt vonatkozó követelmények, előírások megtartása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708"/>
                <w:tab w:val="left" w:pos="612" w:leader="none"/>
              </w:tabs>
              <w:ind w:hanging="432" w:start="612" w:end="0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Létesítmény felelős vezetője pluszkövetelményeket megszabhat</w:t>
            </w:r>
          </w:p>
          <w:p>
            <w:pPr>
              <w:pStyle w:val="Normal"/>
              <w:ind w:start="180" w:end="0"/>
              <w:jc w:val="both"/>
              <w:rPr>
                <w:bCs/>
                <w:sz w:val="12"/>
                <w:szCs w:val="12"/>
              </w:rPr>
            </w:pPr>
            <w:r>
              <w:rPr>
                <w:bCs/>
                <w:sz w:val="12"/>
                <w:szCs w:val="12"/>
              </w:rPr>
            </w:r>
          </w:p>
          <w:p>
            <w:pPr>
              <w:pStyle w:val="Normal"/>
              <w:ind w:start="462" w:end="0"/>
              <w:jc w:val="center"/>
              <w:rPr>
                <w:bCs/>
              </w:rPr>
            </w:pPr>
            <w:r>
              <w:rPr>
                <w:b/>
              </w:rPr>
              <w:t>A következő áramütés elleni védelem ellenőrzésével kapcsolatos vizsgálat elvégzésének legkésőbbi időpontja és módja</w:t>
            </w:r>
            <w:r>
              <w:rPr>
                <w:bCs/>
                <w:vertAlign w:val="superscript"/>
              </w:rPr>
              <w:t>*</w:t>
            </w:r>
          </w:p>
          <w:p>
            <w:pPr>
              <w:pStyle w:val="Normal"/>
              <w:ind w:start="360" w:end="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  <w:tbl>
            <w:tblPr>
              <w:tblW w:w="1071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55"/>
              <w:gridCol w:w="2089"/>
              <w:gridCol w:w="2090"/>
              <w:gridCol w:w="2090"/>
              <w:gridCol w:w="2090"/>
            </w:tblGrid>
            <w:tr>
              <w:trPr/>
              <w:tc>
                <w:tcPr>
                  <w:tcW w:w="23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start="360" w:end="0"/>
                    <w:jc w:val="center"/>
                    <w:rPr/>
                  </w:pPr>
                  <w:r>
                    <w:rPr>
                      <w:bCs/>
                      <w:sz w:val="18"/>
                      <w:szCs w:val="18"/>
                    </w:rPr>
                    <w:t>Általános előírás(ok)</w:t>
                  </w:r>
                  <w:r>
                    <w:rPr>
                      <w:bCs/>
                      <w:sz w:val="18"/>
                      <w:szCs w:val="18"/>
                      <w:vertAlign w:val="superscript"/>
                    </w:rPr>
                    <w:t>**</w:t>
                  </w:r>
                  <w:r>
                    <w:rPr>
                      <w:bCs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08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10/2016. (IV. 5.) NGM rendelet</w:t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40/2017. (XII. 4.) NGM rendelet</w:t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ind w:end="-12"/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54/2014 (XII. 5) BM rendelet</w:t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ind w:end="-12"/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54/2014 (XII. 5) BM rendelet</w:t>
                  </w:r>
                </w:p>
              </w:tc>
            </w:tr>
            <w:tr>
              <w:trPr/>
              <w:tc>
                <w:tcPr>
                  <w:tcW w:w="23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start="360" w:end="0"/>
                    <w:jc w:val="center"/>
                    <w:rPr/>
                  </w:pPr>
                  <w:r>
                    <w:rPr>
                      <w:bCs/>
                      <w:sz w:val="18"/>
                      <w:szCs w:val="18"/>
                    </w:rPr>
                    <w:t>Vizsgálat módja:</w:t>
                  </w:r>
                </w:p>
              </w:tc>
              <w:tc>
                <w:tcPr>
                  <w:tcW w:w="208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Műszeres, szemrevételezés</w:t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Műszeres, szemrevételezés</w:t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Műszeres, szemrevételezés</w:t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Műszeres, szemrevételezés</w:t>
                  </w:r>
                </w:p>
              </w:tc>
            </w:tr>
            <w:tr>
              <w:trPr/>
              <w:tc>
                <w:tcPr>
                  <w:tcW w:w="23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start="360" w:end="0"/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Vizsgálat időpontja:</w:t>
                  </w:r>
                </w:p>
              </w:tc>
              <w:tc>
                <w:tcPr>
                  <w:tcW w:w="208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</w:r>
                </w:p>
              </w:tc>
            </w:tr>
          </w:tbl>
          <w:p>
            <w:pPr>
              <w:pStyle w:val="Normal"/>
              <w:ind w:start="360" w:end="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  <w:p>
            <w:pPr>
              <w:pStyle w:val="Normal"/>
              <w:ind w:start="360" w:end="0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</w:p>
          <w:p>
            <w:pPr>
              <w:pStyle w:val="Normal"/>
              <w:ind w:start="600" w:end="480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</w:tc>
      </w:tr>
      <w:tr>
        <w:trPr>
          <w:trHeight w:val="1418" w:hRule="atLeast"/>
        </w:trPr>
        <w:tc>
          <w:tcPr>
            <w:tcW w:w="10940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ind w:start="179" w:end="480"/>
              <w:jc w:val="both"/>
              <w:rPr/>
            </w:pPr>
            <w:r>
              <w:rPr>
                <w:bCs/>
                <w:sz w:val="20"/>
                <w:szCs w:val="20"/>
                <w:vertAlign w:val="superscript"/>
              </w:rPr>
              <w:t>*</w:t>
            </w:r>
            <w:r>
              <w:rPr>
                <w:bCs/>
                <w:sz w:val="20"/>
                <w:szCs w:val="20"/>
              </w:rPr>
              <w:t>Az MSZ HD 60364-6:2017 lapja nem ír elő kötelezően záros határidőn belüli időszakos felülvizsgálatot. A jelenleg érvényes jogszabály, a 191/2009 (IX. 15) kormányrendelet, csak meghatározott építési tevékenységeknél, csak első MSZ HD 60364-6 szerinti felülvizsgálatot ír elő.</w:t>
            </w:r>
          </w:p>
          <w:p>
            <w:pPr>
              <w:pStyle w:val="Normal"/>
              <w:ind w:start="179" w:end="480"/>
              <w:jc w:val="both"/>
              <w:rPr>
                <w:sz w:val="16"/>
                <w:szCs w:val="16"/>
              </w:rPr>
            </w:pPr>
            <w:r>
              <w:rPr>
                <w:bCs/>
                <w:sz w:val="20"/>
                <w:szCs w:val="20"/>
                <w:vertAlign w:val="superscript"/>
              </w:rPr>
              <w:t>**</w:t>
            </w:r>
            <w:r>
              <w:rPr>
                <w:bCs/>
                <w:sz w:val="20"/>
                <w:szCs w:val="20"/>
              </w:rPr>
              <w:t xml:space="preserve">A villamos berendezés fajtájától függően a 10/2016. (IV. 5.) NGM vagy 40/2017. (XII. 4.) NGM rendelet szerelői ellenőrzést, illetve felülvizsgálatot írhat elő 3, illetve 6 éven belül. Ugyanez érvényes a villámvédelmi és tűzvédelmi (EBF) felülvizsgálatokra is, amelyekről a </w:t>
            </w:r>
            <w:r>
              <w:rPr>
                <w:bCs/>
                <w:sz w:val="18"/>
                <w:szCs w:val="18"/>
              </w:rPr>
              <w:t>54/2014 (XII. 5) BM rendelet - Villámvédelem esetén a TvMI is – rendelkezik.</w:t>
            </w:r>
          </w:p>
        </w:tc>
      </w:tr>
    </w:tbl>
    <w:p>
      <w:pPr>
        <w:pStyle w:val="Normal"/>
        <w:rPr>
          <w:sz w:val="20"/>
          <w:szCs w:val="20"/>
        </w:rPr>
      </w:pPr>
      <w:r>
        <w:br w:type="page"/>
      </w:r>
      <w:r>
        <w:rPr>
          <w:sz w:val="20"/>
          <w:szCs w:val="20"/>
        </w:rPr>
      </w:r>
    </w:p>
    <w:tbl>
      <w:tblPr>
        <w:tblW w:w="109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80"/>
      </w:tblGrid>
      <w:tr>
        <w:trPr>
          <w:trHeight w:val="529" w:hRule="atLeast"/>
        </w:trPr>
        <w:tc>
          <w:tcPr>
            <w:tcW w:w="10980" w:type="dxa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VILLAMOS BERENDEZÉS IDŐSZAKOS ELLENŐRZÉSE</w:t>
            </w:r>
          </w:p>
          <w:p>
            <w:pPr>
              <w:pStyle w:val="Normal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MSZ HD 60364-6:2017</w:t>
            </w:r>
          </w:p>
        </w:tc>
      </w:tr>
      <w:tr>
        <w:trPr>
          <w:trHeight w:val="13737" w:hRule="atLeast"/>
        </w:trPr>
        <w:tc>
          <w:tcPr>
            <w:tcW w:w="10980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b/>
                <w:sz w:val="16"/>
                <w:szCs w:val="16"/>
                <w:u w:val="single"/>
              </w:rPr>
            </w:pPr>
            <w:r>
              <w:rPr>
                <w:b/>
                <w:sz w:val="16"/>
                <w:szCs w:val="16"/>
                <w:u w:val="single"/>
              </w:rPr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Munkaszám:  </w:t>
            </w:r>
          </w:p>
          <w:p>
            <w:pPr>
              <w:pStyle w:val="Normal"/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MINŐSÍTÉSI ALAPADATOK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ind w:start="313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villamos berendezés névleges feszültsége: 400/230 V 50 Hz</w:t>
            </w:r>
          </w:p>
          <w:p>
            <w:pPr>
              <w:pStyle w:val="Normal"/>
              <w:ind w:start="313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villamos hálózat rendszere: TN-C-S (TN)</w:t>
            </w:r>
          </w:p>
          <w:p>
            <w:pPr>
              <w:pStyle w:val="Normal"/>
              <w:ind w:start="313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villamos hálózat földelési típusa: Betonalap földelés</w:t>
            </w:r>
          </w:p>
          <w:p>
            <w:pPr>
              <w:pStyle w:val="Normal"/>
              <w:ind w:start="313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Alapvető érintésvédelmi mód: Táplálás önműködő lekapcsolása - nullázás</w:t>
            </w:r>
          </w:p>
          <w:p>
            <w:pPr>
              <w:pStyle w:val="Normal"/>
              <w:ind w:start="313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Betáplálás módja: Áramszolgáltatói 400V </w:t>
            </w:r>
          </w:p>
          <w:p>
            <w:pPr>
              <w:pStyle w:val="Normal"/>
              <w:ind w:start="313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Tartalék energia: -</w:t>
            </w:r>
          </w:p>
          <w:p>
            <w:pPr>
              <w:pStyle w:val="Normal"/>
              <w:ind w:start="313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Létesítés/legutóbbi felújításának éve: -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ind w:start="171" w:end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 felülvizsgálattal kapcsolatos előírások:</w:t>
            </w:r>
          </w:p>
          <w:p>
            <w:pPr>
              <w:pStyle w:val="Normal"/>
              <w:ind w:start="1080" w:end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297" w:leader="none"/>
              </w:tabs>
              <w:ind w:hanging="2976" w:start="3297" w:end="0"/>
              <w:jc w:val="both"/>
              <w:rPr/>
            </w:pPr>
            <w:r>
              <w:rPr>
                <w:sz w:val="18"/>
                <w:szCs w:val="18"/>
              </w:rPr>
              <w:t xml:space="preserve">1995. évi XXVIII. Törvény </w:t>
              <w:tab/>
              <w:t>a nemzeti szabványmódosításról, módosította. 2011. évi CXII. törvény</w:t>
            </w:r>
          </w:p>
          <w:p>
            <w:pPr>
              <w:pStyle w:val="Normal"/>
              <w:tabs>
                <w:tab w:val="clear" w:pos="708"/>
                <w:tab w:val="left" w:pos="3297" w:leader="none"/>
              </w:tabs>
              <w:ind w:hanging="2976" w:start="3297" w:end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191/2009. (IX. 15.) Korm. rendelet</w:t>
              <w:tab/>
              <w:t>az építőipari kivitelezési tevékenységről</w:t>
            </w:r>
          </w:p>
          <w:p>
            <w:pPr>
              <w:pStyle w:val="Normal"/>
              <w:tabs>
                <w:tab w:val="clear" w:pos="708"/>
                <w:tab w:val="left" w:pos="3297" w:leader="none"/>
              </w:tabs>
              <w:ind w:hanging="2976" w:start="3297" w:end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21/2010. (V.14) NFGM rendelet</w:t>
              <w:tab/>
              <w:t>egyes ipari és kereskedelmi tevékenységek gyakorlásához szükséges képesítésekről</w:t>
            </w:r>
          </w:p>
          <w:p>
            <w:pPr>
              <w:pStyle w:val="Normal"/>
              <w:tabs>
                <w:tab w:val="clear" w:pos="708"/>
                <w:tab w:val="left" w:pos="3297" w:leader="none"/>
              </w:tabs>
              <w:ind w:hanging="2976" w:start="3297" w:end="0"/>
              <w:jc w:val="both"/>
              <w:rPr>
                <w:sz w:val="18"/>
                <w:szCs w:val="18"/>
              </w:rPr>
            </w:pPr>
            <w:bookmarkStart w:id="0" w:name="pr2"/>
            <w:bookmarkEnd w:id="0"/>
            <w:r>
              <w:rPr>
                <w:sz w:val="18"/>
                <w:szCs w:val="18"/>
              </w:rPr>
              <w:t>10/2016. (IV. 5.) NGM rendelet</w:t>
              <w:tab/>
              <w:t>a munkaeszközök és használatuk biztonsági és egészségügyi követelményeinek minimális szintjéről</w:t>
            </w:r>
          </w:p>
          <w:p>
            <w:pPr>
              <w:pStyle w:val="Normal"/>
              <w:tabs>
                <w:tab w:val="clear" w:pos="708"/>
                <w:tab w:val="left" w:pos="3297" w:leader="none"/>
              </w:tabs>
              <w:ind w:hanging="2976" w:start="3297" w:end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40/2017. (XII. 4.) NGM rendelet</w:t>
              <w:tab/>
              <w:t>az összekötő és felhasználói berendezésekről, valamint a potenciálisan robbanásveszélyes közegben működő villamos berendezésekről és védelmi rendszerekről</w:t>
            </w:r>
          </w:p>
          <w:p>
            <w:pPr>
              <w:pStyle w:val="Normal"/>
              <w:tabs>
                <w:tab w:val="clear" w:pos="708"/>
                <w:tab w:val="left" w:pos="3297" w:leader="none"/>
              </w:tabs>
              <w:ind w:hanging="2976" w:start="3297" w:end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54/2014 (XII. 5) BM rendelet</w:t>
              <w:tab/>
              <w:t>az Országos Tűzvédelmi Szabályzatról</w:t>
            </w:r>
          </w:p>
          <w:p>
            <w:pPr>
              <w:pStyle w:val="Normal"/>
              <w:ind w:start="884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ind w:start="171" w:end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 felülvizsgálattal kapcsolatos főbb szabványok</w:t>
            </w:r>
            <w:r>
              <w:rPr>
                <w:sz w:val="18"/>
                <w:szCs w:val="18"/>
              </w:rPr>
              <w:t xml:space="preserve"> (lásd még a V</w:t>
            </w:r>
            <w:r>
              <w:rPr>
                <w:i/>
                <w:sz w:val="18"/>
                <w:szCs w:val="18"/>
              </w:rPr>
              <w:t>izsgálati eredmények összefoglalása</w:t>
            </w:r>
            <w:r>
              <w:rPr>
                <w:sz w:val="18"/>
                <w:szCs w:val="18"/>
              </w:rPr>
              <w:t xml:space="preserve"> részt):</w:t>
            </w:r>
          </w:p>
          <w:p>
            <w:pPr>
              <w:pStyle w:val="Normal"/>
              <w:ind w:start="108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ind w:hanging="2410" w:start="2864" w:end="0"/>
              <w:jc w:val="both"/>
              <w:rPr/>
            </w:pPr>
            <w:r>
              <w:rPr>
                <w:sz w:val="18"/>
                <w:szCs w:val="18"/>
              </w:rPr>
              <w:t>MSZ 1585:2016</w:t>
              <w:tab/>
              <w:t>Villamos berendezések üzemeltetése</w:t>
            </w:r>
          </w:p>
          <w:p>
            <w:pPr>
              <w:pStyle w:val="Normal"/>
              <w:ind w:hanging="2410" w:start="2864" w:end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MSZ EN 61557-1:2007</w:t>
              <w:tab/>
              <w:t>Általános követelmények</w:t>
            </w:r>
          </w:p>
          <w:p>
            <w:pPr>
              <w:pStyle w:val="Normal"/>
              <w:ind w:hanging="2410" w:start="2864" w:end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MSZ HD 60364-1:2009</w:t>
              <w:tab/>
              <w:t>Alapelvek, általános jellemzők elemzése, fogalmak</w:t>
            </w:r>
          </w:p>
          <w:p>
            <w:pPr>
              <w:pStyle w:val="Normal"/>
              <w:ind w:hanging="2410" w:start="2864" w:end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MSZ HD 60364-7-701:2007</w:t>
              <w:tab/>
              <w:t>Különleges berendezésekre vagy helyiségekre vonatkozó követelmények.</w:t>
            </w:r>
          </w:p>
          <w:p>
            <w:pPr>
              <w:pStyle w:val="Normal"/>
              <w:ind w:hanging="2410" w:start="2864" w:end="0"/>
              <w:jc w:val="both"/>
              <w:rPr/>
            </w:pPr>
            <w:r>
              <w:rPr>
                <w:sz w:val="18"/>
                <w:szCs w:val="18"/>
              </w:rPr>
              <w:t>MSZ EN 61140:2003</w:t>
              <w:tab/>
              <w:t>Az áramütés elleni védelem. A villamos berendezésekre és a villamos szerkezetekre vonatkozó közös szempontok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ind w:start="171" w:end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felülvizsgált rendszerek és védelmi módok és érintésvédelmi osztályok</w:t>
            </w:r>
            <w:r>
              <w:rPr>
                <w:sz w:val="20"/>
                <w:szCs w:val="20"/>
              </w:rPr>
              <w:t xml:space="preserve"> (aláhúzandó, kiemelendő stb.):</w:t>
            </w:r>
          </w:p>
          <w:p>
            <w:pPr>
              <w:pStyle w:val="Normal"/>
              <w:ind w:start="144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ind w:start="454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Védelmi mód: a táplálás önm</w:t>
            </w:r>
            <w:r>
              <w:rPr>
                <w:sz w:val="18"/>
                <w:szCs w:val="18"/>
              </w:rPr>
              <w:t>ű</w:t>
            </w:r>
            <w:r>
              <w:rPr>
                <w:sz w:val="18"/>
                <w:szCs w:val="18"/>
              </w:rPr>
              <w:t>köd</w:t>
            </w:r>
            <w:r>
              <w:rPr>
                <w:sz w:val="18"/>
                <w:szCs w:val="18"/>
              </w:rPr>
              <w:t>ő</w:t>
            </w:r>
            <w:r>
              <w:rPr>
                <w:sz w:val="18"/>
                <w:szCs w:val="18"/>
              </w:rPr>
              <w:t xml:space="preserve"> lekapcsolása </w:t>
            </w:r>
          </w:p>
          <w:p>
            <w:pPr>
              <w:pStyle w:val="Normal"/>
              <w:numPr>
                <w:ilvl w:val="0"/>
                <w:numId w:val="1"/>
              </w:numPr>
              <w:ind w:hanging="360" w:start="1021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TN-C rendszer; TN-S rendszer; </w:t>
            </w:r>
            <w:r>
              <w:rPr>
                <w:b/>
                <w:sz w:val="18"/>
                <w:szCs w:val="18"/>
                <w:u w:val="single"/>
              </w:rPr>
              <w:t>TN-C-S rendszer (TN)</w:t>
            </w:r>
          </w:p>
          <w:p>
            <w:pPr>
              <w:pStyle w:val="Normal"/>
              <w:numPr>
                <w:ilvl w:val="0"/>
                <w:numId w:val="1"/>
              </w:numPr>
              <w:ind w:hanging="360" w:start="1021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TT rendszer (TT)</w:t>
            </w:r>
          </w:p>
          <w:p>
            <w:pPr>
              <w:pStyle w:val="Normal"/>
              <w:numPr>
                <w:ilvl w:val="0"/>
                <w:numId w:val="1"/>
              </w:numPr>
              <w:ind w:hanging="360" w:start="1021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rendszer (IT)</w:t>
            </w:r>
          </w:p>
          <w:p>
            <w:pPr>
              <w:pStyle w:val="Normal"/>
              <w:ind w:start="454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Védelmi mód: </w:t>
            </w:r>
            <w:r>
              <w:rPr>
                <w:b/>
                <w:sz w:val="18"/>
                <w:szCs w:val="18"/>
                <w:u w:val="single"/>
              </w:rPr>
              <w:t>kett</w:t>
            </w:r>
            <w:r>
              <w:rPr>
                <w:b/>
                <w:sz w:val="18"/>
                <w:szCs w:val="18"/>
                <w:u w:val="single"/>
              </w:rPr>
              <w:t>ő</w:t>
            </w:r>
            <w:r>
              <w:rPr>
                <w:b/>
                <w:sz w:val="18"/>
                <w:szCs w:val="18"/>
                <w:u w:val="single"/>
              </w:rPr>
              <w:t>s vagy meger</w:t>
            </w:r>
            <w:r>
              <w:rPr>
                <w:b/>
                <w:sz w:val="18"/>
                <w:szCs w:val="18"/>
                <w:u w:val="single"/>
              </w:rPr>
              <w:t>ő</w:t>
            </w:r>
            <w:r>
              <w:rPr>
                <w:b/>
                <w:sz w:val="18"/>
                <w:szCs w:val="18"/>
                <w:u w:val="single"/>
              </w:rPr>
              <w:t>sített szigetelés (KMSZ)</w:t>
            </w:r>
          </w:p>
          <w:p>
            <w:pPr>
              <w:pStyle w:val="Normal"/>
              <w:ind w:start="454" w:end="0"/>
              <w:rPr/>
            </w:pPr>
            <w:r>
              <w:rPr>
                <w:sz w:val="18"/>
                <w:szCs w:val="18"/>
              </w:rPr>
              <w:t>Védelmi mód: villamos elválasztás (VELV).)</w:t>
            </w:r>
          </w:p>
          <w:p>
            <w:pPr>
              <w:pStyle w:val="Normal"/>
              <w:ind w:start="454" w:end="0"/>
              <w:rPr/>
            </w:pPr>
            <w:r>
              <w:rPr>
                <w:sz w:val="18"/>
                <w:szCs w:val="18"/>
              </w:rPr>
              <w:t>Védelmi mód: SELV- és PELV-törpefeszültség (SELV, PELV))</w:t>
            </w:r>
          </w:p>
          <w:p>
            <w:pPr>
              <w:pStyle w:val="Normal"/>
              <w:ind w:start="454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Kiegészítő védelmek:</w:t>
            </w:r>
          </w:p>
          <w:p>
            <w:pPr>
              <w:pStyle w:val="Normal"/>
              <w:numPr>
                <w:ilvl w:val="0"/>
                <w:numId w:val="7"/>
              </w:numPr>
              <w:ind w:hanging="360" w:start="1021" w:end="0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áram-védőkapcsolók (RCD)</w:t>
            </w:r>
          </w:p>
          <w:p>
            <w:pPr>
              <w:pStyle w:val="Normal"/>
              <w:numPr>
                <w:ilvl w:val="0"/>
                <w:numId w:val="7"/>
              </w:numPr>
              <w:ind w:hanging="360" w:start="1021" w:end="0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kiegészítő egyenpotenciálú összekötés (KEPH)</w:t>
            </w:r>
          </w:p>
          <w:p>
            <w:pPr>
              <w:pStyle w:val="Normal"/>
              <w:ind w:start="454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Szakképzett és kioktatott személyek által irányított vagy felügyelt/irányított berendezések védelmi módjai:</w:t>
            </w:r>
          </w:p>
          <w:p>
            <w:pPr>
              <w:pStyle w:val="Normal"/>
              <w:numPr>
                <w:ilvl w:val="0"/>
                <w:numId w:val="2"/>
              </w:numPr>
              <w:ind w:hanging="360" w:start="1021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Környezet elszigetelése (KE)</w:t>
            </w:r>
          </w:p>
          <w:p>
            <w:pPr>
              <w:pStyle w:val="Normal"/>
              <w:numPr>
                <w:ilvl w:val="0"/>
                <w:numId w:val="2"/>
              </w:numPr>
              <w:ind w:hanging="360" w:start="1021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Védelem földeletlen helyi egyenpotenciálú összekötéssel (HEPH)</w:t>
            </w:r>
          </w:p>
          <w:p>
            <w:pPr>
              <w:pStyle w:val="Normal"/>
              <w:numPr>
                <w:ilvl w:val="0"/>
                <w:numId w:val="2"/>
              </w:numPr>
              <w:ind w:hanging="360" w:start="1021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Villamos elválasztás egynél több fogyasztókészülék táplálása esetén (VELVT)</w:t>
            </w:r>
          </w:p>
          <w:p>
            <w:pPr>
              <w:pStyle w:val="Normal"/>
              <w:ind w:start="454" w:end="0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Egyenpotenciálra hozó hálózat (EPH)</w:t>
            </w:r>
          </w:p>
          <w:p>
            <w:pPr>
              <w:pStyle w:val="Normal"/>
              <w:ind w:start="454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Alapvédelem:</w:t>
            </w:r>
          </w:p>
          <w:p>
            <w:pPr>
              <w:pStyle w:val="Normal"/>
              <w:numPr>
                <w:ilvl w:val="0"/>
                <w:numId w:val="8"/>
              </w:numPr>
              <w:ind w:hanging="360" w:start="1021" w:end="0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Aktív részek alapszigetelése (ASZ)</w:t>
            </w:r>
          </w:p>
          <w:p>
            <w:pPr>
              <w:pStyle w:val="Normal"/>
              <w:numPr>
                <w:ilvl w:val="0"/>
                <w:numId w:val="8"/>
              </w:numPr>
              <w:ind w:hanging="360" w:start="1021" w:end="0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Védőfedések (VF)</w:t>
            </w:r>
          </w:p>
          <w:p>
            <w:pPr>
              <w:pStyle w:val="Normal"/>
              <w:numPr>
                <w:ilvl w:val="0"/>
                <w:numId w:val="8"/>
              </w:numPr>
              <w:ind w:hanging="360" w:start="1021" w:end="0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Védőburkolatok (VB)</w:t>
            </w:r>
          </w:p>
          <w:p>
            <w:pPr>
              <w:pStyle w:val="Normal"/>
              <w:ind w:start="454" w:end="0"/>
              <w:rPr/>
            </w:pPr>
            <w:r>
              <w:rPr>
                <w:sz w:val="18"/>
                <w:szCs w:val="18"/>
              </w:rPr>
              <w:t>Alapvédelem szakképzett és kioktatott személyek által irányított vagy felügyelt/irányított berendezések esetében:</w:t>
            </w:r>
          </w:p>
          <w:p>
            <w:pPr>
              <w:pStyle w:val="Normal"/>
              <w:numPr>
                <w:ilvl w:val="0"/>
                <w:numId w:val="6"/>
              </w:numPr>
              <w:ind w:hanging="360" w:start="1021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Védőakadályok (VA)</w:t>
            </w:r>
          </w:p>
          <w:p>
            <w:pPr>
              <w:pStyle w:val="Normal"/>
              <w:numPr>
                <w:ilvl w:val="0"/>
                <w:numId w:val="6"/>
              </w:numPr>
              <w:ind w:hanging="360" w:start="1021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Elérhető tartományon kívüli elhelyezés (EH)</w:t>
            </w:r>
          </w:p>
          <w:p>
            <w:pPr>
              <w:pStyle w:val="Normal"/>
              <w:ind w:start="454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Érintésvédelmi osztályok</w:t>
            </w:r>
          </w:p>
          <w:p>
            <w:pPr>
              <w:pStyle w:val="Normal"/>
              <w:numPr>
                <w:ilvl w:val="0"/>
                <w:numId w:val="5"/>
              </w:numPr>
              <w:ind w:hanging="360" w:start="1021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0-s érintésvédelmi osztály (0)</w:t>
            </w:r>
          </w:p>
          <w:p>
            <w:pPr>
              <w:pStyle w:val="Normal"/>
              <w:numPr>
                <w:ilvl w:val="0"/>
                <w:numId w:val="5"/>
              </w:numPr>
              <w:ind w:hanging="360" w:start="1021" w:end="0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I-es érintésvédelmi osztály – PE-t igényló szerkezetek (I)</w:t>
            </w:r>
          </w:p>
          <w:p>
            <w:pPr>
              <w:pStyle w:val="Normal"/>
              <w:numPr>
                <w:ilvl w:val="0"/>
                <w:numId w:val="5"/>
              </w:numPr>
              <w:ind w:hanging="360" w:start="1021" w:end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II-es érintésvédelmi osztály – kettős vagy megerősített szigetelésű szerkezet (II</w:t>
            </w:r>
            <w:r>
              <w:rPr>
                <w:sz w:val="18"/>
                <w:szCs w:val="18"/>
              </w:rPr>
              <w:t>)</w:t>
            </w:r>
          </w:p>
          <w:p>
            <w:pPr>
              <w:pStyle w:val="Normal"/>
              <w:numPr>
                <w:ilvl w:val="0"/>
                <w:numId w:val="5"/>
              </w:numPr>
              <w:ind w:hanging="360" w:start="1021" w:end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III-érintésvédelmi osztály – törpefeszültségű szerkezetek (III)</w:t>
            </w:r>
          </w:p>
        </w:tc>
      </w:tr>
    </w:tbl>
    <w:p>
      <w:pPr>
        <w:pStyle w:val="Normal"/>
        <w:jc w:val="center"/>
        <w:rPr>
          <w:sz w:val="20"/>
          <w:szCs w:val="20"/>
        </w:rPr>
      </w:pPr>
      <w:r>
        <w:br w:type="page"/>
      </w:r>
      <w:r>
        <w:rPr>
          <w:sz w:val="20"/>
          <w:szCs w:val="20"/>
        </w:rPr>
      </w:r>
    </w:p>
    <w:tbl>
      <w:tblPr>
        <w:tblW w:w="109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18"/>
        <w:gridCol w:w="4071"/>
        <w:gridCol w:w="992"/>
        <w:gridCol w:w="1199"/>
      </w:tblGrid>
      <w:tr>
        <w:trPr>
          <w:trHeight w:val="529" w:hRule="atLeast"/>
        </w:trPr>
        <w:tc>
          <w:tcPr>
            <w:tcW w:w="10980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32"/>
                <w:szCs w:val="32"/>
              </w:rPr>
            </w:pPr>
            <w:bookmarkStart w:id="1" w:name="_Hlk818655"/>
            <w:bookmarkEnd w:id="1"/>
            <w:r>
              <w:rPr>
                <w:b/>
                <w:sz w:val="32"/>
                <w:szCs w:val="32"/>
              </w:rPr>
              <w:t>VILLAMOS BERENDEZÉS IDŐSZAKOS ELLENŐRZÉSE</w:t>
            </w:r>
          </w:p>
          <w:p>
            <w:pPr>
              <w:pStyle w:val="Normal"/>
              <w:jc w:val="center"/>
              <w:rPr>
                <w:caps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MSZ HD 60364-6:2017</w:t>
            </w:r>
          </w:p>
        </w:tc>
      </w:tr>
      <w:tr>
        <w:trPr>
          <w:trHeight w:val="1249" w:hRule="atLeast"/>
        </w:trPr>
        <w:tc>
          <w:tcPr>
            <w:tcW w:w="10980" w:type="dxa"/>
            <w:gridSpan w:val="4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snapToGrid w:val="false"/>
              <w:rPr>
                <w:caps/>
                <w:sz w:val="12"/>
                <w:szCs w:val="12"/>
                <w:u w:val="single"/>
              </w:rPr>
            </w:pPr>
            <w:r>
              <w:rPr>
                <w:caps/>
                <w:sz w:val="12"/>
                <w:szCs w:val="12"/>
                <w:u w:val="single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Munkaszám:  </w:t>
            </w:r>
          </w:p>
          <w:p>
            <w:pPr>
              <w:pStyle w:val="Normal"/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VIZSGÁLATI EREDMÉNYEK ÖSSZEFOGLALÁSA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ind w:start="108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Jelmagyarázat: Jelmagyarázat: </w:t>
            </w:r>
            <w:r>
              <w:rPr>
                <w:b/>
                <w:sz w:val="20"/>
                <w:szCs w:val="20"/>
              </w:rPr>
              <w:t>MF</w:t>
            </w:r>
            <w:r>
              <w:rPr>
                <w:sz w:val="20"/>
                <w:szCs w:val="20"/>
              </w:rPr>
              <w:t xml:space="preserve"> – megfelelő; </w:t>
            </w:r>
            <w:r>
              <w:rPr>
                <w:b/>
                <w:sz w:val="20"/>
                <w:szCs w:val="20"/>
              </w:rPr>
              <w:t>NEM</w:t>
            </w:r>
            <w:r>
              <w:rPr>
                <w:sz w:val="20"/>
                <w:szCs w:val="20"/>
              </w:rPr>
              <w:t xml:space="preserve"> – nem felel meg; </w:t>
            </w:r>
            <w:r>
              <w:rPr>
                <w:b/>
                <w:sz w:val="20"/>
                <w:szCs w:val="20"/>
              </w:rPr>
              <w:t>NA</w:t>
            </w:r>
            <w:r>
              <w:rPr>
                <w:sz w:val="20"/>
                <w:szCs w:val="20"/>
              </w:rPr>
              <w:t xml:space="preserve"> – a vizsgálat nem alkalmazható; </w:t>
            </w:r>
            <w:r>
              <w:rPr>
                <w:b/>
                <w:sz w:val="20"/>
                <w:szCs w:val="20"/>
              </w:rPr>
              <w:t>NV</w:t>
            </w:r>
            <w:r>
              <w:rPr>
                <w:sz w:val="20"/>
                <w:szCs w:val="20"/>
              </w:rPr>
              <w:t xml:space="preserve"> – nem vizsgált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rögzített villamos berendezés szerkezetei szemrevételezése alapján:</w:t>
            </w:r>
          </w:p>
        </w:tc>
        <w:tc>
          <w:tcPr>
            <w:tcW w:w="9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Minősítés</w:t>
            </w:r>
          </w:p>
        </w:tc>
        <w:tc>
          <w:tcPr>
            <w:tcW w:w="1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Megjegyzés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8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a, megfelelnek a vonatkozó termékszabvány biztonsági követelményeinek (jelölések, tanúsítványok és gyártói információk alapján),</w:t>
            </w:r>
          </w:p>
        </w:tc>
        <w:tc>
          <w:tcPr>
            <w:tcW w:w="992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b, az MSZ HD 60364 szabványsorozat és a gyártó előírásai szerinti a kiválasztásuk és a szerelésük, és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c, nincsen olyan látható sérülésük, amely csökkentené a biztonságot.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Szemrevételezés során történt ellenőrzések:</w:t>
            </w:r>
          </w:p>
        </w:tc>
        <w:tc>
          <w:tcPr>
            <w:tcW w:w="9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Minősítés</w:t>
            </w:r>
          </w:p>
        </w:tc>
        <w:tc>
          <w:tcPr>
            <w:tcW w:w="1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Megjegyzés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8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a) az áramütés elleni védelmi mód (lásd az IEC 60364-4-41-et);</w:t>
            </w:r>
          </w:p>
        </w:tc>
        <w:tc>
          <w:tcPr>
            <w:tcW w:w="992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b) tűzgátló szerkezetek és a tűz továbbterjedésének megakadályozására szolgáló más óvintézkedések, valamint a hőhatások elleni védelem megléte (lásd az IEC 60634-4-42-t és az IEC 60364-5-52:2009 527. fejezetét)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c) a vezetők megfelelő kiválasztása a megengedett áram szempontjából (lásd az IEC 60364-4-43-at és az IEC 60364-5-52:2009 523. fejezetét)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d) a védelmi eszközök és a megfigyelőkészülékek kiválasztása, beállítása, szelektivitása és koordinációja (lásd az IEC 60364-5-53:2001 536. fejezetét)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e) ahol elő van írva, a megfelelő túlfeszültség-védelmi eszközök (SPD) kiválasztása, elhelyezése és szerelése (lásd az IEC 60364-5-53:2001-et és az IEC 60364-5-53:2001/AMD2:2015 534. fejezetét)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>
          <w:trHeight w:val="480" w:hRule="atLeast"/>
        </w:trPr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f) a megfelelő leválasztó- és kapcsolókészülékek kiválasztása, elhelyezése és szerelése (lásd az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IEC 60364-5-53:2001 536. fejezetét)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g) a villamos szerkezetek és a védelmi módok külső hatásoknak és mechanikai igénybevételeknek megfelelő kiválasztása (lásd az IEC 60364-4-42:2010 422. fejezetét, az IEC 60364-5-51:2005 512.2. szakaszát és az IEC 60364-5-52:2009 522. fejezetét)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h) a nulla- és a védővezető megjelölése (lásd az IEC 60364-5-51:2005 514.3. szakaszát)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i) a kapcsolási rajzok, figyelmeztető feliratok vagy hasonló információk megléte (lásd az IEC 60364-5-51:2005 514.5. szakaszát)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j) az áramkörök, túláramvédelmi eszközök, kapcsolók, csatlakozókapcsok stb. megjelölése (lásd az IEC 60364-5-51:2005 514. fejezetét)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k) a kábelek és vezetékek végződéseinek és csatlakozásainak megfelelősége (lásd az IEC 60364-5-52:2009 526. fejezetét)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l) a földelőberendezések, a védővezetők és azok csatlakozásainak kiválasztása és szerelése (lásd az IEC 60364-5-54-et)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m) a szerkezetek könnyű kezeléséhez, azonosításához és karbantartásához szükséges hozzáférhetőség (lásd az IEC 60364-5-51:2005 513. és 514. fejezetét)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n) az elektromágneses zavarok elleni intézkedések (lásd az IEC 60364-4-44:2007 444. fejezetét)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o) a test csatlakoztatása a földelőberendezéshez (lásd az IEC 60364-4-41:2005 411. fejezetét)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p) a kábel- és vezetékrendszerek kiválasztása és szerelése (lásd az IEC 60364-5-52:2009 521. és 522. fejezetét)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Műszeres, méréses vizsgálatok MSZ HD 60364-6:2017 szakaszai szerint</w:t>
            </w:r>
          </w:p>
        </w:tc>
        <w:tc>
          <w:tcPr>
            <w:tcW w:w="9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Minősítés</w:t>
            </w:r>
          </w:p>
        </w:tc>
        <w:tc>
          <w:tcPr>
            <w:tcW w:w="1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Megjegyzés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8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a) a vezetők folytonossága (6.4.3.2.) – MSZ EN 61557-4:2007</w:t>
            </w:r>
          </w:p>
        </w:tc>
        <w:tc>
          <w:tcPr>
            <w:tcW w:w="992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Jegyzőkönyv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b) szigetelési ellenállás állandó üzemelés miatt csak szemrevételezéssel ellenőrizve (6.4.3.3.) – MSZ EN 61557-2:2007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c) a szigetelési ellenállást a SELV-vel, PELV-vel és a villamos elválasztással megvalósított védelem hatásosságának ellenőrzése céljából (6.4.3.4.) - MSZ EN 61557-2:2007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d) a szigetelési ellenállást a padlózat és a fal ellenállásának/impedanciájának ellenőrzése céljából (61.3.5)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e) a polaritás vizsgálatát (6.4.3.6.)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f) a táplálás önműködő lekapcsolásával megvalósított védelmi mód hatásosságát (6.4.3.7.)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Jegyzőkönyv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g) a kiegészítő védelem hatásosságát (6.4.3.8.)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h) a fázissorrendet (6.4.3.9.)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drawing>
                <wp:anchor behindDoc="0" distT="0" distB="0" distL="114935" distR="114935" simplePos="0" locked="0" layoutInCell="1" allowOverlap="1" relativeHeight="3">
                  <wp:simplePos x="0" y="0"/>
                  <wp:positionH relativeFrom="column">
                    <wp:posOffset>5208905</wp:posOffset>
                  </wp:positionH>
                  <wp:positionV relativeFrom="paragraph">
                    <wp:posOffset>84455</wp:posOffset>
                  </wp:positionV>
                  <wp:extent cx="1680845" cy="614680"/>
                  <wp:effectExtent l="0" t="0" r="0" b="0"/>
                  <wp:wrapNone/>
                  <wp:docPr id="2" name="Image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3" t="-9" r="-3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845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</w:rPr>
              <w:t>i) a működést (6.4.3.10.)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/>
        <w:tc>
          <w:tcPr>
            <w:tcW w:w="8789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j) a feszültségesést (6.4.3.11.)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>
        <w:trPr>
          <w:trHeight w:val="618" w:hRule="atLeast"/>
        </w:trPr>
        <w:tc>
          <w:tcPr>
            <w:tcW w:w="4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Kelt: </w:t>
            </w:r>
          </w:p>
        </w:tc>
        <w:tc>
          <w:tcPr>
            <w:tcW w:w="6262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Felelős felülvizsgáló: Nyikos Dániel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9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80"/>
      </w:tblGrid>
      <w:tr>
        <w:trPr>
          <w:trHeight w:val="529" w:hRule="atLeast"/>
        </w:trPr>
        <w:tc>
          <w:tcPr>
            <w:tcW w:w="10980" w:type="dxa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VILLAMOS BERENDEZÉS IDŐSZAKOS ELLENŐRZÉSE</w:t>
            </w:r>
          </w:p>
          <w:p>
            <w:pPr>
              <w:pStyle w:val="Normal"/>
              <w:jc w:val="center"/>
              <w:rPr>
                <w:caps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MSZ HD 60364-6:2017</w:t>
            </w:r>
          </w:p>
        </w:tc>
      </w:tr>
      <w:tr>
        <w:trPr>
          <w:trHeight w:val="13540" w:hRule="atLeast"/>
        </w:trPr>
        <w:tc>
          <w:tcPr>
            <w:tcW w:w="10980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Munkaszám:  </w:t>
            </w:r>
          </w:p>
          <w:p>
            <w:pPr>
              <w:pStyle w:val="Normal"/>
              <w:spacing w:lineRule="auto" w:line="254"/>
              <w:ind w:start="597" w:end="527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54"/>
              <w:ind w:start="597" w:end="527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Hibajegyzék</w:t>
            </w:r>
          </w:p>
          <w:p>
            <w:pPr>
              <w:pStyle w:val="Normal"/>
              <w:spacing w:lineRule="auto" w:line="254"/>
              <w:ind w:start="597" w:end="527"/>
              <w:jc w:val="center"/>
              <w:rPr>
                <w:b/>
              </w:rPr>
            </w:pPr>
            <w:r>
              <w:rPr>
                <w:b/>
              </w:rPr>
              <w:t xml:space="preserve">A pirossal jelölt tételek azonnali hibajavítást igényelnek vagy azokat </w:t>
            </w:r>
          </w:p>
          <w:p>
            <w:pPr>
              <w:pStyle w:val="Normal"/>
              <w:spacing w:lineRule="auto" w:line="254"/>
              <w:ind w:start="597" w:end="527"/>
              <w:jc w:val="center"/>
              <w:rPr>
                <w:b/>
              </w:rPr>
            </w:pPr>
            <w:r>
              <w:rPr>
                <w:b/>
              </w:rPr>
              <w:t>használatba venni TILOS!</w:t>
            </w:r>
          </w:p>
          <w:p>
            <w:pPr>
              <w:pStyle w:val="Normal"/>
              <w:spacing w:lineRule="auto" w:line="254"/>
              <w:ind w:end="527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Nem megfelelt tételek (hurokimpedancia jegyzőkönyv)</w:t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Nincs adat (hurokimpedancia jegyzőkönyv)</w:t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Nem megfelelt tételek (AVK jegyzőkönyv)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Nincs adat (AVK jegyzőkönyv)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tbl>
            <w:tblPr>
              <w:tblW w:w="1038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993"/>
              <w:gridCol w:w="2694"/>
              <w:gridCol w:w="2693"/>
            </w:tblGrid>
            <w:tr>
              <w:trPr/>
              <w:tc>
                <w:tcPr>
                  <w:tcW w:w="49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start="360" w:end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Mérési jegyzőkönyv:</w:t>
                  </w: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Hurokimpedancia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Fi relé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w="49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start="360" w:end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Nem azonnali hibák javításának határideje:</w:t>
                  </w:r>
                </w:p>
              </w:tc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</w:r>
                </w:p>
              </w:tc>
            </w:tr>
          </w:tbl>
          <w:p>
            <w:pPr>
              <w:pStyle w:val="Normal"/>
              <w:spacing w:lineRule="auto" w:line="254"/>
              <w:ind w:end="52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tbl>
      <w:tblPr>
        <w:tblW w:w="109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80"/>
      </w:tblGrid>
      <w:tr>
        <w:trPr>
          <w:trHeight w:val="529" w:hRule="atLeast"/>
        </w:trPr>
        <w:tc>
          <w:tcPr>
            <w:tcW w:w="10980" w:type="dxa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VILLAMOS BERENDEZÉS IDŐSZAKOS ELLENŐRZÉSE</w:t>
            </w:r>
          </w:p>
          <w:p>
            <w:pPr>
              <w:pStyle w:val="Normal"/>
              <w:jc w:val="center"/>
              <w:rPr>
                <w:caps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MSZ HD 60364-6:2017</w:t>
            </w:r>
          </w:p>
        </w:tc>
      </w:tr>
      <w:tr>
        <w:trPr>
          <w:trHeight w:val="13540" w:hRule="atLeast"/>
        </w:trPr>
        <w:tc>
          <w:tcPr>
            <w:tcW w:w="10980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auto" w:line="256"/>
              <w:ind w:start="597" w:end="527"/>
              <w:jc w:val="center"/>
              <w:rPr>
                <w:b/>
                <w:caps/>
                <w:sz w:val="20"/>
                <w:szCs w:val="20"/>
                <w:u w:val="single"/>
              </w:rPr>
            </w:pPr>
            <w:r>
              <w:rPr>
                <w:b/>
                <w:caps/>
                <w:sz w:val="20"/>
                <w:szCs w:val="20"/>
                <w:u w:val="single"/>
              </w:rPr>
            </w:r>
          </w:p>
          <w:p>
            <w:pPr>
              <w:pStyle w:val="Normal"/>
              <w:spacing w:lineRule="auto" w:line="256"/>
              <w:ind w:start="597" w:end="527"/>
              <w:jc w:val="center"/>
              <w:rPr>
                <w:b/>
              </w:rPr>
            </w:pPr>
            <w:r>
              <w:rPr>
                <w:b/>
              </w:rPr>
              <w:t>ÚTMUTATÓ A MEGRENDELŐNEK</w:t>
            </w:r>
          </w:p>
          <w:p>
            <w:pPr>
              <w:pStyle w:val="Normal"/>
              <w:spacing w:lineRule="auto" w:line="256"/>
              <w:ind w:start="597" w:end="527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lineRule="auto" w:line="256"/>
              <w:ind w:start="597" w:end="527"/>
              <w:jc w:val="center"/>
              <w:rPr/>
            </w:pPr>
            <w:r>
              <w:rPr/>
              <w:t>E dokumentáció fontos és értékes dokumentum, amelyet meg kell őrizni.</w:t>
            </w:r>
          </w:p>
          <w:p>
            <w:pPr>
              <w:pStyle w:val="Normal"/>
              <w:spacing w:lineRule="auto" w:line="256"/>
              <w:ind w:start="597" w:end="527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256"/>
              <w:ind w:start="597" w:end="527"/>
              <w:jc w:val="both"/>
              <w:rPr/>
            </w:pPr>
            <w:r>
              <w:rPr/>
              <w:t>1) Ennek az állapotfelmérő dokumentációnak az a célja, hogy lehetőség szerint megállapítsa azt, hogy az adott villamos berendezés a további működés szempontjából kielégítő állapotban van vagy sem. A dokumentáció azonosít minden olyan károsodást, állagromlást, hibát és/vagy állapotot, amely növelheti a veszélyt.</w:t>
            </w:r>
          </w:p>
          <w:p>
            <w:pPr>
              <w:pStyle w:val="Normal"/>
              <w:spacing w:lineRule="auto" w:line="256"/>
              <w:ind w:start="597" w:end="527"/>
              <w:jc w:val="both"/>
              <w:rPr/>
            </w:pPr>
            <w:r>
              <w:rPr/>
              <w:t>2) A dokumentációt megrendelő személy kap a dokumentációból egy eredeti példányt és a felülvizsgáló megtart egy másodpéldányt.</w:t>
            </w:r>
          </w:p>
          <w:p>
            <w:pPr>
              <w:pStyle w:val="Normal"/>
              <w:spacing w:lineRule="auto" w:line="256"/>
              <w:ind w:start="597" w:end="527"/>
              <w:jc w:val="both"/>
              <w:rPr/>
            </w:pPr>
            <w:r>
              <w:rPr/>
              <w:t>3) Az eredeti dokumentációt biztonságos helyen meg kell őrizni, és minden olyan személynek a rendelkezésére kell bocsátani, aki a jövőben a villamos berendezést felülvizsgálja vagy azon munkát végez. Ha az ingatlan megüresedik, akkor ezt a dokumentációt az új tulajdonossal/bérlővel meg kell ismertetni a villamos berendezésnek a dokumentáció készítésének idején érvényes állapotának részleteivel együtt.</w:t>
            </w:r>
          </w:p>
          <w:p>
            <w:pPr>
              <w:pStyle w:val="Normal"/>
              <w:spacing w:lineRule="auto" w:line="256"/>
              <w:ind w:start="597" w:end="527"/>
              <w:jc w:val="both"/>
              <w:rPr/>
            </w:pPr>
            <w:r>
              <w:rPr/>
              <w:t>4) A fontos teljes mértékben azonosítani a berendezésnek azt a kiterjedését, amelyre a dokumentáció vonatkozik, valamint a felülvizsgálat esetleges korlátozásait. A felülvizsgálónak ezekről a dokumentációt megrendelő személlyel és más érdekelt felekkel (engedélyező hatóság, biztosítótársaság, jelzálog-hitelező és hasonlók) meg kell állapodnia még a felülvizsgálat elvégzése előtt.</w:t>
            </w:r>
          </w:p>
          <w:p>
            <w:pPr>
              <w:pStyle w:val="Normal"/>
              <w:spacing w:lineRule="auto" w:line="256"/>
              <w:ind w:start="597" w:end="527"/>
              <w:jc w:val="both"/>
              <w:rPr/>
            </w:pPr>
            <w:r>
              <w:rPr/>
              <w:t>5) A felülvizsgálat során előfordulhatnak olyan üzemeltetési korlátozások, mint pl. a berendezés vagy a szerkezetek egyes részeihez való hozzáférhetetlenségek. A felülvizsgáló ezeket a dokumentációban feltünteti.</w:t>
            </w:r>
          </w:p>
          <w:p>
            <w:pPr>
              <w:pStyle w:val="Normal"/>
              <w:spacing w:lineRule="auto" w:line="256"/>
              <w:ind w:start="597" w:end="527"/>
              <w:jc w:val="both"/>
              <w:rPr/>
            </w:pPr>
            <w:r>
              <w:rPr/>
              <w:t>6) A „Veszély áll fenn” észrevételek azt jelentik, hogy a berendezés használata veszélyes, és javasolt, hogy kompetens személy azonnal elvégezze a hibajavítást.</w:t>
            </w:r>
          </w:p>
          <w:p>
            <w:pPr>
              <w:pStyle w:val="Normal"/>
              <w:spacing w:lineRule="auto" w:line="256"/>
              <w:ind w:start="597" w:end="527"/>
              <w:jc w:val="both"/>
              <w:rPr/>
            </w:pPr>
            <w:r>
              <w:rPr/>
              <w:t>7) A „Potenciálisan veszélyes” észrevételek azt jelentik, hogy a berendezés használata veszélyes lehet, és javasolt, hogy kompetens személy sürgősen végezze el a hibajavítást.</w:t>
            </w:r>
          </w:p>
          <w:p>
            <w:pPr>
              <w:pStyle w:val="Normal"/>
              <w:spacing w:lineRule="auto" w:line="256"/>
              <w:ind w:start="597" w:end="527"/>
              <w:jc w:val="both"/>
              <w:rPr/>
            </w:pPr>
            <w:r>
              <w:rPr/>
              <w:t>8) Ha a dokumentáció további vizsgálatot ír elő, mert a felülvizsgáló olyan nyilvánvaló hiányosságot tárt fel, amelyet az adott szemrevételezés kiterjedése és korlátozásai miatt nem lehet teljes mértékben azonosítani, akkor ilyen esetekben haladéktalanul további vizsgálatra van szükség a nyilvánvaló hiányosság természetének és mértékének megállapítására.</w:t>
            </w:r>
          </w:p>
          <w:p>
            <w:pPr>
              <w:pStyle w:val="Normal"/>
              <w:spacing w:lineRule="auto" w:line="256"/>
              <w:ind w:start="597" w:end="527"/>
              <w:jc w:val="both"/>
              <w:rPr/>
            </w:pPr>
            <w:r>
              <w:rPr/>
              <w:t>9) Biztonsági okokból a villamos berendezést megfelelő időközönként kompetens személynek ismételten felül kell vizsgálnia. A következő felülvizsgálat javasolt időpontja a dokumentációban fel van tüntetve.</w:t>
            </w:r>
          </w:p>
          <w:p>
            <w:pPr>
              <w:pStyle w:val="Normal"/>
              <w:spacing w:lineRule="auto" w:line="256"/>
              <w:ind w:start="597" w:end="527"/>
              <w:jc w:val="both"/>
              <w:rPr/>
            </w:pPr>
            <w:r>
              <w:rPr/>
            </w:r>
          </w:p>
          <w:p>
            <w:pPr>
              <w:pStyle w:val="Normal"/>
              <w:spacing w:lineRule="auto" w:line="256"/>
              <w:ind w:start="597" w:end="52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Jelen dokumentáció elkészítése során betartottuk a 40/2017. (XII. 4.) NGM rendelet Villamos biztonsági szabályzatának 1.13.4. pontját, mely szerint „</w:t>
            </w:r>
            <w:r>
              <w:rPr>
                <w:i/>
                <w:iCs/>
                <w:sz w:val="20"/>
                <w:szCs w:val="20"/>
              </w:rPr>
              <w:t>A villamos berendezések felülvizsgálata a felülvizsgálat idején érvényes vonatkozó műszaki követelmények szerint történik. A villamos berendezések minősítése a létesítés idején érvényes vonatkozó műszaki követelmény szerint történik</w:t>
            </w:r>
            <w:r>
              <w:rPr>
                <w:sz w:val="20"/>
                <w:szCs w:val="20"/>
              </w:rPr>
              <w:t>”.</w:t>
            </w:r>
          </w:p>
          <w:p>
            <w:pPr>
              <w:pStyle w:val="Normal"/>
              <w:spacing w:lineRule="auto" w:line="256"/>
              <w:ind w:start="597" w:end="527"/>
              <w:jc w:val="both"/>
              <w:rPr/>
            </w:pPr>
            <w:r>
              <w:rPr>
                <w:sz w:val="20"/>
                <w:szCs w:val="20"/>
              </w:rPr>
              <w:t>A rendelet 1.13.5 pontja kijelenti:. „</w:t>
            </w:r>
            <w:r>
              <w:rPr>
                <w:i/>
                <w:iCs/>
                <w:sz w:val="20"/>
                <w:szCs w:val="20"/>
              </w:rPr>
              <w:t>Az e rendelet hatálybalépése előtt létesített - a vizsgálatkor érvényes műszaki előírásoknak meg nem felelő - berendezések esetében a felülvizsgálat során tapasztalt hiányosságok pótlása a villamos biztonsági felülvizsgálat végzője által a minősítő iratban meghatározott időpontban, ennek hiányában a villamos berendezés soron következő felújítása idején érvényes vonatkozó követelményeknek megfelelően végzendő el</w:t>
            </w:r>
            <w:r>
              <w:rPr>
                <w:sz w:val="20"/>
                <w:szCs w:val="20"/>
              </w:rPr>
              <w:t>”.</w:t>
            </w:r>
          </w:p>
        </w:tc>
      </w:tr>
    </w:tbl>
    <w:sectPr>
      <w:footerReference w:type="default" r:id="rId4"/>
      <w:type w:val="nextPage"/>
      <w:pgSz w:w="11906" w:h="16838"/>
      <w:pgMar w:left="540" w:right="746" w:gutter="0" w:header="0" w:top="719" w:footer="708" w:bottom="7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Alapdokumentáció –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861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2844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770"/>
        </w:tabs>
        <w:ind w:start="177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741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hu-HU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Bekezdsalapbettpusa">
    <w:name w:val="Bekezdés alapbetűtípusa"/>
    <w:qFormat/>
    <w:rPr/>
  </w:style>
  <w:style w:type="character" w:styleId="Hyperlink">
    <w:name w:val="Hyperlink"/>
    <w:rPr>
      <w:color w:val="0000FF"/>
      <w:u w:val="single"/>
    </w:rPr>
  </w:style>
  <w:style w:type="character" w:styleId="lfejChar">
    <w:name w:val="Élőfej Char"/>
    <w:qFormat/>
    <w:rPr>
      <w:sz w:val="24"/>
      <w:szCs w:val="24"/>
    </w:rPr>
  </w:style>
  <w:style w:type="character" w:styleId="llbChar">
    <w:name w:val="Élőláb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2012-10-02T14:28:00Z</dcterms:created>
  <dc:creator>Rátai Attila</dc:creator>
  <dc:description/>
  <cp:keywords/>
  <dc:language>en-US</dc:language>
  <cp:lastModifiedBy>nyikos dani</cp:lastModifiedBy>
  <dcterms:modified xsi:type="dcterms:W3CDTF">2025-12-30T08:52:00Z</dcterms:modified>
  <cp:revision>324</cp:revision>
  <dc:subject/>
  <dc:title>SZABVÁNYOSSÁGI FELÜLVIZSGÁLAT DOKUMENTÁCIÓJA</dc:title>
</cp:coreProperties>
</file>