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14207" w14:textId="4A83E808" w:rsidR="00412E3C" w:rsidRDefault="00CC0DFF" w:rsidP="00412E3C">
      <w:pPr>
        <w:jc w:val="center"/>
      </w:pPr>
      <w:r>
        <w:t>Change in</w:t>
      </w:r>
      <w:r w:rsidR="00412E3C">
        <w:t xml:space="preserve"> self-reported confidence </w:t>
      </w:r>
      <w:r w:rsidR="00EA38F1">
        <w:t xml:space="preserve">in </w:t>
      </w:r>
      <w:r w:rsidR="00AC6F60">
        <w:t>data clea</w:t>
      </w:r>
      <w:r w:rsidR="00EA38F1">
        <w:t xml:space="preserve">ning </w:t>
      </w:r>
      <w:r w:rsidR="00AC6F60">
        <w:t xml:space="preserve">and analysis </w:t>
      </w:r>
      <w:r w:rsidR="00412E3C">
        <w:t xml:space="preserve">skills among students enrolled in </w:t>
      </w:r>
      <w:r w:rsidR="00AC6F60">
        <w:t xml:space="preserve">a graduate level course on quantitative data management using R </w:t>
      </w:r>
    </w:p>
    <w:p w14:paraId="0B2C05DB" w14:textId="77777777" w:rsidR="00412E3C" w:rsidRDefault="00412E3C" w:rsidP="00412E3C">
      <w:pPr>
        <w:jc w:val="center"/>
      </w:pPr>
    </w:p>
    <w:p w14:paraId="3E6813FE" w14:textId="55D5AEFA" w:rsidR="00412E3C" w:rsidRDefault="00412E3C" w:rsidP="00412E3C">
      <w:pPr>
        <w:jc w:val="center"/>
      </w:pPr>
      <w:r>
        <w:t>Sheena E. Martenies</w:t>
      </w:r>
      <w:r w:rsidR="007378A6">
        <w:rPr>
          <w:vertAlign w:val="superscript"/>
        </w:rPr>
        <w:t>1</w:t>
      </w:r>
    </w:p>
    <w:p w14:paraId="18FE43E4" w14:textId="77777777" w:rsidR="007378A6" w:rsidRDefault="007378A6" w:rsidP="00412E3C">
      <w:pPr>
        <w:jc w:val="center"/>
      </w:pPr>
    </w:p>
    <w:p w14:paraId="446EE009" w14:textId="7DE4AA24" w:rsidR="007378A6" w:rsidRPr="007378A6" w:rsidRDefault="007378A6" w:rsidP="007378A6">
      <w:r w:rsidRPr="007378A6">
        <w:rPr>
          <w:vertAlign w:val="superscript"/>
        </w:rPr>
        <w:t>1</w:t>
      </w:r>
      <w:r w:rsidRPr="007378A6">
        <w:t>Department</w:t>
      </w:r>
      <w:r>
        <w:t xml:space="preserve"> of Health and Kinesiology, University of Illinois Urbana-Ch</w:t>
      </w:r>
      <w:r w:rsidR="00EA38F1">
        <w:t>ampaign</w:t>
      </w:r>
    </w:p>
    <w:p w14:paraId="49E25EC6" w14:textId="77777777" w:rsidR="00412E3C" w:rsidRDefault="00412E3C" w:rsidP="00412E3C">
      <w:pPr>
        <w:jc w:val="center"/>
      </w:pPr>
    </w:p>
    <w:p w14:paraId="764C15DE" w14:textId="60DF064B" w:rsidR="009448A8" w:rsidRPr="00EA38F1" w:rsidRDefault="00412E3C">
      <w:pPr>
        <w:rPr>
          <w:b/>
          <w:bCs/>
        </w:rPr>
      </w:pPr>
      <w:r w:rsidRPr="00EA38F1">
        <w:rPr>
          <w:b/>
          <w:bCs/>
        </w:rPr>
        <w:t>1. Introduction</w:t>
      </w:r>
    </w:p>
    <w:p w14:paraId="314E438A" w14:textId="431A2E6F" w:rsidR="00CC0DFF" w:rsidRDefault="00CC0DFF">
      <w:r>
        <w:t>Background here.</w:t>
      </w:r>
    </w:p>
    <w:p w14:paraId="2CE2EDD8" w14:textId="77777777" w:rsidR="00CC0DFF" w:rsidRDefault="00CC0DFF"/>
    <w:p w14:paraId="1F714AED" w14:textId="4C92138E" w:rsidR="00F56A22" w:rsidRDefault="00F56A22" w:rsidP="00F56A22">
      <w:r>
        <w:t xml:space="preserve">The </w:t>
      </w:r>
      <w:r>
        <w:t xml:space="preserve">objective </w:t>
      </w:r>
      <w:r>
        <w:t xml:space="preserve">of this </w:t>
      </w:r>
      <w:r>
        <w:t>study was</w:t>
      </w:r>
      <w:r>
        <w:t xml:space="preserve"> to assess changes in the level of confidence </w:t>
      </w:r>
    </w:p>
    <w:p w14:paraId="585437EB" w14:textId="77777777" w:rsidR="00F56A22" w:rsidRDefault="00F56A22" w:rsidP="00F56A22">
      <w:r>
        <w:t xml:space="preserve">students enrolled in HK 513 (Fall '24) feel about their ability to conduct </w:t>
      </w:r>
    </w:p>
    <w:p w14:paraId="31F219B3" w14:textId="77777777" w:rsidR="00F56A22" w:rsidRDefault="00F56A22" w:rsidP="00F56A22">
      <w:r>
        <w:t xml:space="preserve">specific data management tasks using R. The analysis compared the self-reported </w:t>
      </w:r>
    </w:p>
    <w:p w14:paraId="2FD0AE03" w14:textId="77777777" w:rsidR="00F56A22" w:rsidRDefault="00F56A22" w:rsidP="00F56A22">
      <w:r>
        <w:t>confidence felt by students at the start of the semester (Week 1) and the end of</w:t>
      </w:r>
    </w:p>
    <w:p w14:paraId="73B07597" w14:textId="77777777" w:rsidR="00F56A22" w:rsidRDefault="00F56A22" w:rsidP="00F56A22">
      <w:r>
        <w:t>the semester (Week 14) to see if there was a change in confidence as a result</w:t>
      </w:r>
    </w:p>
    <w:p w14:paraId="5F94325D" w14:textId="539C0D27" w:rsidR="00CC0DFF" w:rsidRDefault="00F56A22" w:rsidP="00F56A22">
      <w:r>
        <w:t>of engaging in the course.</w:t>
      </w:r>
    </w:p>
    <w:p w14:paraId="4603F628" w14:textId="77777777" w:rsidR="00F56A22" w:rsidRDefault="00F56A22" w:rsidP="00F56A22"/>
    <w:p w14:paraId="3F0B2191" w14:textId="1711CE32" w:rsidR="00412E3C" w:rsidRPr="00EA38F1" w:rsidRDefault="00412E3C">
      <w:pPr>
        <w:rPr>
          <w:b/>
          <w:bCs/>
        </w:rPr>
      </w:pPr>
      <w:r w:rsidRPr="00EA38F1">
        <w:rPr>
          <w:b/>
          <w:bCs/>
        </w:rPr>
        <w:t>2. Methods</w:t>
      </w:r>
    </w:p>
    <w:p w14:paraId="0DC91DB1" w14:textId="7FA05C79" w:rsidR="00412E3C" w:rsidRDefault="00412E3C">
      <w:r>
        <w:t xml:space="preserve">2.1 </w:t>
      </w:r>
      <w:r w:rsidR="00CC0DFF">
        <w:t>Participants and Study Setting</w:t>
      </w:r>
    </w:p>
    <w:p w14:paraId="52C69B42" w14:textId="4F3FA595" w:rsidR="00CC0DFF" w:rsidRDefault="00CC0DFF">
      <w:r>
        <w:t xml:space="preserve">This study </w:t>
      </w:r>
      <w:r w:rsidR="00AC6F60">
        <w:t xml:space="preserve">included students at the University of Illinois Urbana-Champaign enrolled in a graduate level course </w:t>
      </w:r>
      <w:r w:rsidR="00B94015">
        <w:t xml:space="preserve">(HK 513) </w:t>
      </w:r>
      <w:r w:rsidR="00AC6F60">
        <w:t xml:space="preserve">introducing key concepts related to quantitative data management using R software. </w:t>
      </w:r>
      <w:r w:rsidR="00B94015">
        <w:t xml:space="preserve">HK 513 is a seated course designed to introduce graduate students to the basic methods involved in cleaning, analyzing, and visualizing quantitative data. Most students in the course were pursuing a Master of Public Health degree, though graduate students from across were welcome to enroll in the course. Data collected occurred during the Fall 2024 semester. </w:t>
      </w:r>
      <w:r w:rsidR="00AC6F60">
        <w:t xml:space="preserve">Students were eligible for this study if they </w:t>
      </w:r>
      <w:r w:rsidR="00B94015">
        <w:t xml:space="preserve">were enrolled in the course during this time. </w:t>
      </w:r>
    </w:p>
    <w:p w14:paraId="0017C5C7" w14:textId="77777777" w:rsidR="00B94015" w:rsidRDefault="00B94015"/>
    <w:p w14:paraId="6549E028" w14:textId="1B04FE63" w:rsidR="00B94015" w:rsidRDefault="00B94015">
      <w:r>
        <w:t xml:space="preserve">Because data were collected for course </w:t>
      </w:r>
      <w:r w:rsidR="00596F03">
        <w:t xml:space="preserve">demonstration </w:t>
      </w:r>
      <w:r>
        <w:t>purposes, this work is not considered research.</w:t>
      </w:r>
      <w:r w:rsidR="00596F03">
        <w:t xml:space="preserve"> These results will not be disseminated outside this course. </w:t>
      </w:r>
      <w:r>
        <w:t xml:space="preserve">Students received course credit for completing the questionnaires are part of their weekly participation assignment. </w:t>
      </w:r>
      <w:r w:rsidR="00F40F8E">
        <w:t xml:space="preserve">All data provided by students was deidentified prior to analysis. </w:t>
      </w:r>
    </w:p>
    <w:p w14:paraId="7DA91FC6" w14:textId="77777777" w:rsidR="00412E3C" w:rsidRDefault="00412E3C"/>
    <w:p w14:paraId="26EC2E71" w14:textId="20ECAA86" w:rsidR="0028029F" w:rsidRDefault="0028029F">
      <w:r>
        <w:t>2.2 Survey Instrument</w:t>
      </w:r>
    </w:p>
    <w:p w14:paraId="3FFE6FAC" w14:textId="00C86005" w:rsidR="0028029F" w:rsidRDefault="00C214C9">
      <w:r>
        <w:t xml:space="preserve">During Week 1 and Week 14 of the course, students were asked to complete a questionnaire outlining their level of experience using </w:t>
      </w:r>
      <w:r w:rsidR="001B524D">
        <w:t xml:space="preserve">various software programs for quantitative data management and the level of confidence completing data management tasks. </w:t>
      </w:r>
      <w:r w:rsidR="00093352">
        <w:t xml:space="preserve">These questions were designed to align with the course objectives as outlined in the syllabus. </w:t>
      </w:r>
      <w:r w:rsidR="001B524D">
        <w:t xml:space="preserve">Students were asked to indicate their level of experience using R/S Studio, Python, SAS, Stata, SPSS, Excel, Tableau, and Power BI from 1 to 5, where 1 represented “no experience” and 5 represented “a great deal of experience.” They were also asked to indicate how confident they felt completing the following tasks using R: A) using software to organize quantitative data; B) using software to clean </w:t>
      </w:r>
      <w:r w:rsidR="001B524D">
        <w:t>quantitative data</w:t>
      </w:r>
      <w:r w:rsidR="001B524D">
        <w:t>; C)</w:t>
      </w:r>
      <w:r w:rsidR="001B524D" w:rsidRPr="001B524D">
        <w:t xml:space="preserve"> </w:t>
      </w:r>
      <w:r w:rsidR="001B524D">
        <w:t xml:space="preserve">using software to </w:t>
      </w:r>
      <w:r w:rsidR="001B524D">
        <w:t>analyze</w:t>
      </w:r>
      <w:r w:rsidR="001B524D">
        <w:t xml:space="preserve"> quantitative data</w:t>
      </w:r>
      <w:r w:rsidR="001B524D">
        <w:t>; D</w:t>
      </w:r>
      <w:r w:rsidR="001B524D">
        <w:t xml:space="preserve">) using software to </w:t>
      </w:r>
      <w:r w:rsidR="001B524D">
        <w:t>visualize</w:t>
      </w:r>
      <w:r w:rsidR="001B524D">
        <w:t xml:space="preserve"> quantitative data</w:t>
      </w:r>
      <w:r w:rsidR="001B524D">
        <w:t>; E</w:t>
      </w:r>
      <w:r w:rsidR="001B524D">
        <w:t xml:space="preserve">) </w:t>
      </w:r>
      <w:r w:rsidR="001B524D">
        <w:lastRenderedPageBreak/>
        <w:t xml:space="preserve">write a methods section that conveys their data analysis steps; F) write a report that summarize their data analysis results; G) share their work with others so they can reproduce it effectively; and H) find answers to data </w:t>
      </w:r>
      <w:r w:rsidR="00BB73E3">
        <w:t>management</w:t>
      </w:r>
      <w:r w:rsidR="001B524D">
        <w:t xml:space="preserve"> questions </w:t>
      </w:r>
      <w:r w:rsidR="00BB73E3">
        <w:t xml:space="preserve">using resources they find and vet on their own. Responses to these questions could range from 1 to 4, where 1 represented “not confident at all” and 4 represented “very confident.” </w:t>
      </w:r>
    </w:p>
    <w:p w14:paraId="12AC032C" w14:textId="77777777" w:rsidR="00BB73E3" w:rsidRDefault="00BB73E3"/>
    <w:p w14:paraId="31FE20BF" w14:textId="44CAE67F" w:rsidR="00BB73E3" w:rsidRDefault="00BB73E3">
      <w:r>
        <w:t>For the Week 1 questionnaire, students were asked to identify goals for the course. A part of the Week 14 questionnaire, students were asked if they met their course goals; students could select “yes,” “somewhat,” or “no” for this question.</w:t>
      </w:r>
    </w:p>
    <w:p w14:paraId="1AF053FE" w14:textId="77777777" w:rsidR="00BB73E3" w:rsidRDefault="00BB73E3"/>
    <w:p w14:paraId="0ADFE73F" w14:textId="7C9CBACF" w:rsidR="00BB73E3" w:rsidRDefault="0080305D">
      <w:r>
        <w:t xml:space="preserve">Our primary outcomes of interest were the changes observed in the level of confidence </w:t>
      </w:r>
      <w:r w:rsidR="00EA38F1">
        <w:t>to complete data management tasks in R over the course of the semester. We were also interested in the level of experience students had with R before the course and in whether or not students felt they met their semester-long goals.</w:t>
      </w:r>
      <w:r w:rsidR="0083572C">
        <w:t xml:space="preserve"> We dichotomized our pre-course experience variable as no experience (1) vs. any experience (2-5).</w:t>
      </w:r>
    </w:p>
    <w:p w14:paraId="43C7A5E1" w14:textId="77777777" w:rsidR="00F56A22" w:rsidRDefault="00F56A22"/>
    <w:p w14:paraId="1D5CD486" w14:textId="10B080B4" w:rsidR="0028029F" w:rsidRDefault="0028029F">
      <w:r>
        <w:t>2.3 Data Analysis</w:t>
      </w:r>
    </w:p>
    <w:p w14:paraId="648DFDE1" w14:textId="572F8CE6" w:rsidR="008F443C" w:rsidRDefault="008F443C">
      <w:r>
        <w:t>Results from hard-copy surveys were entered into an Excel data base by the investigator. A random sample of 10% of the surveys were entered in duplicate to check for data entry errors. To deidentify the data, a random ID between 1 and 200 was assigned to participants.</w:t>
      </w:r>
    </w:p>
    <w:p w14:paraId="3BBA373E" w14:textId="77777777" w:rsidR="008F443C" w:rsidRDefault="008F443C"/>
    <w:p w14:paraId="255398B1" w14:textId="07D0FCF2" w:rsidR="008F443C" w:rsidRDefault="008F443C">
      <w:r>
        <w:t xml:space="preserve">We first examined the distributions of our </w:t>
      </w:r>
      <w:r w:rsidR="009450EB">
        <w:t xml:space="preserve">experience and confidence variables using histograms and frequency tables. We also use a frequency table to examine the number of students who reported meeting their goals for the semester. </w:t>
      </w:r>
      <w:r>
        <w:t>To test our main hypothesis that self-reported confidence in performing data management tasks would increase</w:t>
      </w:r>
      <w:r w:rsidR="009450EB">
        <w:t xml:space="preserve"> over the course of the semester, were compared pre- and post-course confidence scores using the paired Wilcoxon </w:t>
      </w:r>
      <w:r w:rsidR="00787969">
        <w:t>Signed Rank</w:t>
      </w:r>
      <w:r w:rsidR="009450EB">
        <w:t xml:space="preserve"> test. We chose to use a non-parametric test because of the non-Normal distribution of self-reported confidence scores. We considered a p-value of &lt;0.05 to be evidence that the </w:t>
      </w:r>
      <w:r w:rsidR="00F56A22">
        <w:t>difference between pre- and post-course confidence scores was statistically significant.</w:t>
      </w:r>
    </w:p>
    <w:p w14:paraId="012A4602" w14:textId="77777777" w:rsidR="00632E88" w:rsidRDefault="00632E88"/>
    <w:p w14:paraId="4778B832" w14:textId="1DE8476C" w:rsidR="0028029F" w:rsidRDefault="0028029F">
      <w:r>
        <w:t xml:space="preserve">All data </w:t>
      </w:r>
      <w:r w:rsidR="008F443C">
        <w:t xml:space="preserve">cleaning, </w:t>
      </w:r>
      <w:r>
        <w:t>analysis</w:t>
      </w:r>
      <w:r w:rsidR="008F443C">
        <w:t>, and visualization tasks were</w:t>
      </w:r>
      <w:r>
        <w:t xml:space="preserve"> conducted using R version 4.4.1 </w:t>
      </w:r>
      <w:r>
        <w:fldChar w:fldCharType="begin"/>
      </w:r>
      <w:r>
        <w:instrText xml:space="preserve"> ADDIN ZOTERO_ITEM CSL_CITATION {"citationID":"Q8n3cTh2","properties":{"formattedCitation":"(R Core Team 2024)","plainCitation":"(R Core Team 2024)","noteIndex":0},"citationItems":[{"id":16730,"uris":["http://zotero.org/users/2087648/items/NFULX8MK"],"itemData":{"id":16730,"type":"report","event-place":"Vienna, Austria","publisher":"R Foundation for Statistical Computing","publisher-place":"Vienna, Austria","title":"R: A language and environment for statistical computing.","URL":"http://www.R-project.org/","author":[{"literal":"R Core Team"}],"issued":{"date-parts":[["2024"]]}}}],"schema":"https://github.com/citation-style-language/schema/raw/master/csl-citation.json"} </w:instrText>
      </w:r>
      <w:r>
        <w:fldChar w:fldCharType="separate"/>
      </w:r>
      <w:r>
        <w:rPr>
          <w:noProof/>
        </w:rPr>
        <w:t>(R Core Team 2024)</w:t>
      </w:r>
      <w:r>
        <w:fldChar w:fldCharType="end"/>
      </w:r>
      <w:r>
        <w:t>.</w:t>
      </w:r>
      <w:r w:rsidR="00BD3857">
        <w:t xml:space="preserve"> Data cleaning tasks were performed using functions from the </w:t>
      </w:r>
      <w:proofErr w:type="spellStart"/>
      <w:r w:rsidR="000C1F78">
        <w:t>tidyverse</w:t>
      </w:r>
      <w:proofErr w:type="spellEnd"/>
      <w:r w:rsidR="000C1F78">
        <w:t xml:space="preserve"> set of packages </w:t>
      </w:r>
      <w:r w:rsidR="000C1F78">
        <w:fldChar w:fldCharType="begin"/>
      </w:r>
      <w:r w:rsidR="000C1F78">
        <w:instrText xml:space="preserve"> ADDIN ZOTERO_ITEM CSL_CITATION {"citationID":"dQ4Milq5","properties":{"formattedCitation":"(Wickham et al. 2019)","plainCitation":"(Wickham et al. 2019)","noteIndex":0},"citationItems":[{"id":16733,"uris":["http://zotero.org/users/2087648/items/WVT3Y6CH"],"itemData":{"id":16733,"type":"article-journal","abstract":"Wickham et al., (2019). Welcome to the Tidyverse. Journal of Open Source Software, 4(43), 1686, https://doi.org/10.21105/joss.01686","container-title":"Journal of Open Source Software","DOI":"10.21105/joss.01686","ISSN":"2475-9066","issue":"43","language":"en","page":"1686","source":"joss.theoj.org","title":"Welcome to the Tidyverse","volume":"4","author":[{"family":"Wickham","given":"Hadley"},{"family":"Averick","given":"Mara"},{"family":"Bryan","given":"Jennifer"},{"family":"Chang","given":"Winston"},{"family":"McGowan","given":"Lucy D'Agostino"},{"family":"François","given":"Romain"},{"family":"Grolemund","given":"Garrett"},{"family":"Hayes","given":"Alex"},{"family":"Henry","given":"Lionel"},{"family":"Hester","given":"Jim"},{"family":"Kuhn","given":"Max"},{"family":"Pedersen","given":"Thomas Lin"},{"family":"Miller","given":"Evan"},{"family":"Bache","given":"Stephan Milton"},{"family":"Müller","given":"Kirill"},{"family":"Ooms","given":"Jeroen"},{"family":"Robinson","given":"David"},{"family":"Seidel","given":"Dana Paige"},{"family":"Spinu","given":"Vitalie"},{"family":"Takahashi","given":"Kohske"},{"family":"Vaughan","given":"Davis"},{"family":"Wilke","given":"Claus"},{"family":"Woo","given":"Kara"},{"family":"Yutani","given":"Hiroaki"}],"issued":{"date-parts":[["2019",11,21]]}}}],"schema":"https://github.com/citation-style-language/schema/raw/master/csl-citation.json"} </w:instrText>
      </w:r>
      <w:r w:rsidR="000C1F78">
        <w:fldChar w:fldCharType="separate"/>
      </w:r>
      <w:r w:rsidR="000C1F78">
        <w:rPr>
          <w:noProof/>
        </w:rPr>
        <w:t>(Wickham et al. 2019)</w:t>
      </w:r>
      <w:r w:rsidR="000C1F78">
        <w:fldChar w:fldCharType="end"/>
      </w:r>
      <w:r w:rsidR="000C1F78">
        <w:t xml:space="preserve">. Data visualizations were created using ggplot2 and the </w:t>
      </w:r>
      <w:proofErr w:type="spellStart"/>
      <w:r w:rsidR="000C1F78">
        <w:t>viridis</w:t>
      </w:r>
      <w:proofErr w:type="spellEnd"/>
      <w:r w:rsidR="000C1F78">
        <w:t xml:space="preserve"> packages</w:t>
      </w:r>
      <w:r w:rsidR="00493492">
        <w:t xml:space="preserve"> </w:t>
      </w:r>
      <w:r w:rsidR="00493492">
        <w:fldChar w:fldCharType="begin"/>
      </w:r>
      <w:r w:rsidR="00493492">
        <w:instrText xml:space="preserve"> ADDIN ZOTERO_ITEM CSL_CITATION {"citationID":"5lo5m1Ah","properties":{"formattedCitation":"(Simon Garnier et al. 2024; Wickham 2016)","plainCitation":"(Simon Garnier et al. 2024; Wickham 2016)","noteIndex":0},"citationItems":[{"id":16735,"uris":["http://zotero.org/users/2087648/items/Q25WMNG9"],"itemData":{"id":16735,"type":"software","title":"viridis(Lite) - Colorblind-Friendly Color Maps for R","version":"viridis package version 0.6.5","author":[{"literal":"Simon Garnier"},{"literal":"Noam Ross"},{"literal":"Robert Rudis"},{"literal":"Antônio P. Camargo"},{"literal":"Marco Sciaini"},{"literal":"Cédric Scherer"}],"issued":{"date-parts":[["2024"]]}}},{"id":298,"uris":["http://zotero.org/users/2087648/items/4US7V8RI"],"itemData":{"id":298,"type":"book","publisher":"Springer-Verlag New York","title":"ggplot2: Elegant Graphics for Data Analysis","author":[{"family":"Wickham","given":"Hadley"}],"issued":{"date-parts":[["2016"]]}}}],"schema":"https://github.com/citation-style-language/schema/raw/master/csl-citation.json"} </w:instrText>
      </w:r>
      <w:r w:rsidR="00493492">
        <w:fldChar w:fldCharType="separate"/>
      </w:r>
      <w:r w:rsidR="00493492">
        <w:rPr>
          <w:noProof/>
        </w:rPr>
        <w:t>(Simon Garnier et al. 2024; Wickham 2016)</w:t>
      </w:r>
      <w:r w:rsidR="00493492">
        <w:fldChar w:fldCharType="end"/>
      </w:r>
      <w:r w:rsidR="000C1F78">
        <w:t>.</w:t>
      </w:r>
    </w:p>
    <w:p w14:paraId="0966436E" w14:textId="77777777" w:rsidR="0028029F" w:rsidRDefault="0028029F"/>
    <w:p w14:paraId="3E2ADBB2" w14:textId="3D9A8F30" w:rsidR="00412E3C" w:rsidRPr="00EA38F1" w:rsidRDefault="00412E3C">
      <w:pPr>
        <w:rPr>
          <w:b/>
          <w:bCs/>
        </w:rPr>
      </w:pPr>
      <w:r w:rsidRPr="00EA38F1">
        <w:rPr>
          <w:b/>
          <w:bCs/>
        </w:rPr>
        <w:t>3. Results</w:t>
      </w:r>
    </w:p>
    <w:p w14:paraId="7AA61BE1" w14:textId="717C551C" w:rsidR="00412E3C" w:rsidRDefault="006B24DD">
      <w:r>
        <w:t>A total of 12 students completed the baseline (pre-class) questionnaire during Week 1 of the semester. Nine students completed the follow-up (post-class) questionnaire during Week 14, resulting in a completion rate of 75%.</w:t>
      </w:r>
    </w:p>
    <w:p w14:paraId="4A26C9A9" w14:textId="77777777" w:rsidR="006B24DD" w:rsidRDefault="006B24DD"/>
    <w:p w14:paraId="76D97E2E" w14:textId="66A45C57" w:rsidR="006B24DD" w:rsidRDefault="001526C9">
      <w:r>
        <w:t xml:space="preserve">The baseline level of experience with R and R Studio as reported by students was low. Of the 12 students enrolled in the course, 5 (42%) reported having no experience with R at all. </w:t>
      </w:r>
      <w:r>
        <w:lastRenderedPageBreak/>
        <w:t>Only 2 of the 12 students (17%) reported having “much experience” or a “great deal of experience” using R and R Studio for quantitative data management.</w:t>
      </w:r>
    </w:p>
    <w:p w14:paraId="63F5179C" w14:textId="77777777" w:rsidR="001526C9" w:rsidRDefault="001526C9"/>
    <w:p w14:paraId="72C1E10C" w14:textId="1E4B735E" w:rsidR="001526C9" w:rsidRDefault="001526C9">
      <w:r>
        <w:t>Baseline levels of confidence as reported by students on the Week 1 questionn</w:t>
      </w:r>
      <w:r w:rsidR="001F6846">
        <w:t>aire were generally low, but we observed statistically significant increases in confidence reported by students in the Week 14 questionnaire</w:t>
      </w:r>
      <w:r w:rsidR="00A04F29">
        <w:t xml:space="preserve"> for some data management tasks</w:t>
      </w:r>
      <w:r w:rsidR="001F6846">
        <w:t xml:space="preserve"> (Table 1).</w:t>
      </w:r>
      <w:r w:rsidR="00A04F29">
        <w:t xml:space="preserve"> The median level</w:t>
      </w:r>
      <w:r w:rsidR="00FD1F2F">
        <w:t>s</w:t>
      </w:r>
      <w:r w:rsidR="00A04F29">
        <w:t xml:space="preserve"> of confidence </w:t>
      </w:r>
      <w:r w:rsidR="00FD1F2F">
        <w:t xml:space="preserve">for </w:t>
      </w:r>
      <w:r w:rsidR="00A04F29">
        <w:t>organiz</w:t>
      </w:r>
      <w:r w:rsidR="00FD1F2F">
        <w:t>ing</w:t>
      </w:r>
      <w:r w:rsidR="00A04F29">
        <w:t xml:space="preserve"> quantitative data using R</w:t>
      </w:r>
      <w:r w:rsidR="00FD1F2F">
        <w:t xml:space="preserve"> and cleaning quantitative data using R</w:t>
      </w:r>
      <w:r w:rsidR="00A04F29">
        <w:t xml:space="preserve"> increased from </w:t>
      </w:r>
      <w:r w:rsidR="00B86F8F">
        <w:t xml:space="preserve">2 (somewhat confident) to 3 (confident; p = 0.04) </w:t>
      </w:r>
      <w:r w:rsidR="00FD1F2F">
        <w:t xml:space="preserve">and 2 to 3 (p = 0.04), respectively. We also saw increases in the median level of confidence for using software to analyze quantitative data, visualize quantitative data, </w:t>
      </w:r>
      <w:r w:rsidR="00B86F8F">
        <w:t xml:space="preserve"> </w:t>
      </w:r>
      <w:r w:rsidR="00FD1F2F">
        <w:t xml:space="preserve">and write a methods section, though these increases did not reach statistical significance. </w:t>
      </w:r>
    </w:p>
    <w:p w14:paraId="75019FCB" w14:textId="77777777" w:rsidR="006B24DD" w:rsidRDefault="006B24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170"/>
        <w:gridCol w:w="1017"/>
        <w:gridCol w:w="1053"/>
        <w:gridCol w:w="1080"/>
        <w:gridCol w:w="990"/>
        <w:gridCol w:w="1080"/>
        <w:gridCol w:w="715"/>
      </w:tblGrid>
      <w:tr w:rsidR="00262FC9" w:rsidRPr="002712D4" w14:paraId="73A618EF" w14:textId="38BE1F8B" w:rsidTr="001F6846">
        <w:tc>
          <w:tcPr>
            <w:tcW w:w="935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0CCF72D" w14:textId="46AD2B94" w:rsidR="00262FC9" w:rsidRPr="002712D4" w:rsidRDefault="00262FC9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 xml:space="preserve">Table 1. Self-reported level of confidence students </w:t>
            </w:r>
            <w:proofErr w:type="gramStart"/>
            <w:r w:rsidRPr="002712D4">
              <w:rPr>
                <w:sz w:val="18"/>
                <w:szCs w:val="18"/>
              </w:rPr>
              <w:t>feel</w:t>
            </w:r>
            <w:proofErr w:type="gramEnd"/>
            <w:r w:rsidRPr="002712D4">
              <w:rPr>
                <w:sz w:val="18"/>
                <w:szCs w:val="18"/>
              </w:rPr>
              <w:t xml:space="preserve"> about their ability to complete </w:t>
            </w:r>
            <w:r w:rsidR="00A46249">
              <w:rPr>
                <w:sz w:val="18"/>
                <w:szCs w:val="18"/>
              </w:rPr>
              <w:t xml:space="preserve">quantitative </w:t>
            </w:r>
            <w:r w:rsidRPr="002712D4">
              <w:rPr>
                <w:sz w:val="18"/>
                <w:szCs w:val="18"/>
              </w:rPr>
              <w:t>data management tasks in R</w:t>
            </w:r>
            <w:r w:rsidR="00131C10">
              <w:rPr>
                <w:sz w:val="18"/>
                <w:szCs w:val="18"/>
              </w:rPr>
              <w:t>.</w:t>
            </w:r>
          </w:p>
        </w:tc>
      </w:tr>
      <w:tr w:rsidR="002712D4" w:rsidRPr="002712D4" w14:paraId="1E9AAF54" w14:textId="19DB921A" w:rsidTr="001F6846">
        <w:tc>
          <w:tcPr>
            <w:tcW w:w="2245" w:type="dxa"/>
            <w:tcBorders>
              <w:top w:val="single" w:sz="4" w:space="0" w:color="auto"/>
            </w:tcBorders>
          </w:tcPr>
          <w:p w14:paraId="0A16D8B7" w14:textId="77777777" w:rsidR="00262FC9" w:rsidRPr="002712D4" w:rsidRDefault="00262FC9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9849808" w14:textId="77777777" w:rsidR="00262FC9" w:rsidRPr="002712D4" w:rsidRDefault="00262FC9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78C816" w14:textId="0015788A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N (%)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2A0D1BA" w14:textId="77777777" w:rsidR="00262FC9" w:rsidRPr="002712D4" w:rsidRDefault="00262FC9">
            <w:pPr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1780A5B0" w14:textId="52684EF6" w:rsidR="00262FC9" w:rsidRPr="002712D4" w:rsidRDefault="00262FC9">
            <w:pPr>
              <w:rPr>
                <w:sz w:val="18"/>
                <w:szCs w:val="18"/>
              </w:rPr>
            </w:pPr>
          </w:p>
        </w:tc>
      </w:tr>
      <w:tr w:rsidR="002712D4" w:rsidRPr="002712D4" w14:paraId="1C0A3698" w14:textId="5AE3A4F6" w:rsidTr="001F6846">
        <w:tc>
          <w:tcPr>
            <w:tcW w:w="2245" w:type="dxa"/>
            <w:tcBorders>
              <w:bottom w:val="single" w:sz="4" w:space="0" w:color="auto"/>
            </w:tcBorders>
            <w:vAlign w:val="bottom"/>
          </w:tcPr>
          <w:p w14:paraId="4617770B" w14:textId="34873DAC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Task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3EC255" w14:textId="58319280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Period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vAlign w:val="bottom"/>
          </w:tcPr>
          <w:p w14:paraId="3BB1E87B" w14:textId="4CB154AF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1</w:t>
            </w:r>
            <w:r w:rsidR="002712D4" w:rsidRPr="002712D4">
              <w:rPr>
                <w:sz w:val="18"/>
                <w:szCs w:val="18"/>
              </w:rPr>
              <w:t>: Not confident at all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333099F7" w14:textId="6C308FEB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2</w:t>
            </w:r>
            <w:r w:rsidR="002712D4">
              <w:rPr>
                <w:sz w:val="18"/>
                <w:szCs w:val="18"/>
              </w:rPr>
              <w:t>: Somewhat confident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6A8F660E" w14:textId="76C1270D" w:rsidR="00262FC9" w:rsidRPr="002712D4" w:rsidRDefault="002712D4" w:rsidP="002712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 Confident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1A4B1250" w14:textId="343B768C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4</w:t>
            </w:r>
            <w:r w:rsidR="002712D4">
              <w:rPr>
                <w:sz w:val="18"/>
                <w:szCs w:val="18"/>
              </w:rPr>
              <w:t>: Very confident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D0A37C4" w14:textId="07960AA5" w:rsidR="00262FC9" w:rsidRPr="002712D4" w:rsidRDefault="00262FC9" w:rsidP="002712D4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Median (IQR)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bottom"/>
          </w:tcPr>
          <w:p w14:paraId="6A3C450F" w14:textId="06AA14B4" w:rsidR="00262FC9" w:rsidRPr="002712D4" w:rsidRDefault="001F6846" w:rsidP="001F6846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</w:t>
            </w:r>
            <w:r w:rsidRPr="002712D4">
              <w:rPr>
                <w:sz w:val="18"/>
                <w:szCs w:val="18"/>
                <w:vertAlign w:val="superscript"/>
              </w:rPr>
              <w:t>1</w:t>
            </w:r>
          </w:p>
        </w:tc>
      </w:tr>
      <w:tr w:rsidR="00B86F8F" w:rsidRPr="002712D4" w14:paraId="55884C78" w14:textId="6E596B02" w:rsidTr="00AB1A67">
        <w:tc>
          <w:tcPr>
            <w:tcW w:w="2245" w:type="dxa"/>
            <w:vMerge w:val="restart"/>
            <w:tcBorders>
              <w:top w:val="single" w:sz="4" w:space="0" w:color="auto"/>
            </w:tcBorders>
          </w:tcPr>
          <w:p w14:paraId="4EDD1745" w14:textId="004F052B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Use software to organize quantitative data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2D298CC" w14:textId="6EFC64FC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vAlign w:val="bottom"/>
          </w:tcPr>
          <w:p w14:paraId="343C7EB6" w14:textId="16825DC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0FD5D33A" w14:textId="22551EE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5 (41.7)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9151A03" w14:textId="369005F9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59939292" w14:textId="4E41EAD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0D6ACEB2" w14:textId="51DA00BB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(1.25)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</w:tcBorders>
            <w:vAlign w:val="center"/>
          </w:tcPr>
          <w:p w14:paraId="776B0BB5" w14:textId="5F56882E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</w:tr>
      <w:tr w:rsidR="00B86F8F" w:rsidRPr="002712D4" w14:paraId="310AB0D2" w14:textId="26DB99D2" w:rsidTr="00AB1A67">
        <w:tc>
          <w:tcPr>
            <w:tcW w:w="2245" w:type="dxa"/>
            <w:vMerge/>
          </w:tcPr>
          <w:p w14:paraId="68EA6E35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492E690" w14:textId="54E2B36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12A3C6BB" w14:textId="335AF79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300BB20D" w14:textId="43D9977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BBA6674" w14:textId="0D94F69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5 (55.6)</w:t>
            </w:r>
          </w:p>
        </w:tc>
        <w:tc>
          <w:tcPr>
            <w:tcW w:w="990" w:type="dxa"/>
            <w:vAlign w:val="bottom"/>
          </w:tcPr>
          <w:p w14:paraId="48F93FCA" w14:textId="26C3EAF3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1D110572" w14:textId="451930B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51A8E76D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65BEE13B" w14:textId="7C6FC80D" w:rsidTr="00AB1A67">
        <w:tc>
          <w:tcPr>
            <w:tcW w:w="2245" w:type="dxa"/>
            <w:vMerge w:val="restart"/>
          </w:tcPr>
          <w:p w14:paraId="022E29EE" w14:textId="6C590D9B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) Use software to </w:t>
            </w:r>
            <w:r>
              <w:rPr>
                <w:sz w:val="18"/>
                <w:szCs w:val="18"/>
              </w:rPr>
              <w:t>clean</w:t>
            </w:r>
            <w:r>
              <w:rPr>
                <w:sz w:val="18"/>
                <w:szCs w:val="18"/>
              </w:rPr>
              <w:t xml:space="preserve"> quantitative data</w:t>
            </w:r>
          </w:p>
        </w:tc>
        <w:tc>
          <w:tcPr>
            <w:tcW w:w="1170" w:type="dxa"/>
          </w:tcPr>
          <w:p w14:paraId="400B476F" w14:textId="602FD00A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0BC03B1B" w14:textId="726DA38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53" w:type="dxa"/>
            <w:vAlign w:val="bottom"/>
          </w:tcPr>
          <w:p w14:paraId="68A833C0" w14:textId="732873B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5 (41.7)</w:t>
            </w:r>
          </w:p>
        </w:tc>
        <w:tc>
          <w:tcPr>
            <w:tcW w:w="1080" w:type="dxa"/>
            <w:vAlign w:val="bottom"/>
          </w:tcPr>
          <w:p w14:paraId="17D64EC1" w14:textId="71EB7044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1397FB36" w14:textId="703EE39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88D09D4" w14:textId="37AE716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(1.25)</w:t>
            </w:r>
          </w:p>
        </w:tc>
        <w:tc>
          <w:tcPr>
            <w:tcW w:w="715" w:type="dxa"/>
            <w:vMerge w:val="restart"/>
            <w:vAlign w:val="center"/>
          </w:tcPr>
          <w:p w14:paraId="675AA51D" w14:textId="15B32D85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</w:tr>
      <w:tr w:rsidR="00B86F8F" w:rsidRPr="002712D4" w14:paraId="62C86E3B" w14:textId="20236FB3" w:rsidTr="00AB1A67">
        <w:tc>
          <w:tcPr>
            <w:tcW w:w="2245" w:type="dxa"/>
            <w:vMerge/>
          </w:tcPr>
          <w:p w14:paraId="66D37EC1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AB2A8A6" w14:textId="254D05A6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12FCCFC9" w14:textId="3A402F0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07BBFF94" w14:textId="4B59713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1 (11.1)</w:t>
            </w:r>
          </w:p>
        </w:tc>
        <w:tc>
          <w:tcPr>
            <w:tcW w:w="1080" w:type="dxa"/>
            <w:vAlign w:val="bottom"/>
          </w:tcPr>
          <w:p w14:paraId="52489506" w14:textId="4158477B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4589F33A" w14:textId="72BB1BF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5844CF10" w14:textId="0F2D9EB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0A80DF93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267DD175" w14:textId="1116A38C" w:rsidTr="00AB1A67">
        <w:tc>
          <w:tcPr>
            <w:tcW w:w="2245" w:type="dxa"/>
            <w:vMerge w:val="restart"/>
          </w:tcPr>
          <w:p w14:paraId="3E39A9F8" w14:textId="49599BB8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) Use software to </w:t>
            </w:r>
            <w:r>
              <w:rPr>
                <w:sz w:val="18"/>
                <w:szCs w:val="18"/>
              </w:rPr>
              <w:t>analyze</w:t>
            </w:r>
            <w:r>
              <w:rPr>
                <w:sz w:val="18"/>
                <w:szCs w:val="18"/>
              </w:rPr>
              <w:t xml:space="preserve"> quantitative data</w:t>
            </w:r>
          </w:p>
        </w:tc>
        <w:tc>
          <w:tcPr>
            <w:tcW w:w="1170" w:type="dxa"/>
          </w:tcPr>
          <w:p w14:paraId="453A7572" w14:textId="50B4328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6EB874E5" w14:textId="642F8CC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35697745" w14:textId="0F39940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80" w:type="dxa"/>
            <w:vAlign w:val="bottom"/>
          </w:tcPr>
          <w:p w14:paraId="2A115222" w14:textId="2EEFA3AF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990" w:type="dxa"/>
            <w:vAlign w:val="bottom"/>
          </w:tcPr>
          <w:p w14:paraId="7588A170" w14:textId="3A6748B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15A643A5" w14:textId="275C7928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2C8CECE8" w14:textId="15E614DF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</w:tr>
      <w:tr w:rsidR="00B86F8F" w:rsidRPr="002712D4" w14:paraId="0D092D86" w14:textId="23168AC3" w:rsidTr="00AB1A67">
        <w:tc>
          <w:tcPr>
            <w:tcW w:w="2245" w:type="dxa"/>
            <w:vMerge/>
          </w:tcPr>
          <w:p w14:paraId="43D9380A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7F47BCDB" w14:textId="2C02A0EF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7E252CF8" w14:textId="21A0B89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733B1968" w14:textId="2DD74B0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1 (11.1)</w:t>
            </w:r>
          </w:p>
        </w:tc>
        <w:tc>
          <w:tcPr>
            <w:tcW w:w="1080" w:type="dxa"/>
            <w:vAlign w:val="bottom"/>
          </w:tcPr>
          <w:p w14:paraId="3D4A999A" w14:textId="37655BC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71F3754B" w14:textId="467DAE4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23E7C1F9" w14:textId="5E94290B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32D61C2E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09D29F1F" w14:textId="77777777" w:rsidTr="00AB1A67">
        <w:tc>
          <w:tcPr>
            <w:tcW w:w="2245" w:type="dxa"/>
            <w:vMerge w:val="restart"/>
          </w:tcPr>
          <w:p w14:paraId="32D49CDE" w14:textId="54087629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) Use software to </w:t>
            </w:r>
            <w:r>
              <w:rPr>
                <w:sz w:val="18"/>
                <w:szCs w:val="18"/>
              </w:rPr>
              <w:t>visualize</w:t>
            </w:r>
            <w:r>
              <w:rPr>
                <w:sz w:val="18"/>
                <w:szCs w:val="18"/>
              </w:rPr>
              <w:t xml:space="preserve"> quantitative data</w:t>
            </w:r>
          </w:p>
        </w:tc>
        <w:tc>
          <w:tcPr>
            <w:tcW w:w="1170" w:type="dxa"/>
          </w:tcPr>
          <w:p w14:paraId="2192C432" w14:textId="777450AC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167D79F3" w14:textId="74F774D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66BC1333" w14:textId="544B5BB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58398702" w14:textId="6A0B3B7F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31FD3EC1" w14:textId="4BF66F2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5B5D4296" w14:textId="4813C46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23D0517B" w14:textId="36BB626A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</w:tr>
      <w:tr w:rsidR="00B86F8F" w:rsidRPr="002712D4" w14:paraId="7BD0AF24" w14:textId="77777777" w:rsidTr="00AB1A67">
        <w:tc>
          <w:tcPr>
            <w:tcW w:w="2245" w:type="dxa"/>
            <w:vMerge/>
          </w:tcPr>
          <w:p w14:paraId="717C3544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51455CF" w14:textId="4447C959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382CB373" w14:textId="3961651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25ED2709" w14:textId="6870623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(22.2)</w:t>
            </w:r>
          </w:p>
        </w:tc>
        <w:tc>
          <w:tcPr>
            <w:tcW w:w="1080" w:type="dxa"/>
            <w:vAlign w:val="bottom"/>
          </w:tcPr>
          <w:p w14:paraId="15FF3919" w14:textId="3A740A8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7B3E29BA" w14:textId="10C3D7C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1AD3C6E0" w14:textId="44388EE8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49812E0E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6BCBF534" w14:textId="77777777" w:rsidTr="00AB1A67">
        <w:tc>
          <w:tcPr>
            <w:tcW w:w="2245" w:type="dxa"/>
            <w:vMerge w:val="restart"/>
          </w:tcPr>
          <w:p w14:paraId="2B8F80DB" w14:textId="5037A6B6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E) Write a methods section </w:t>
            </w:r>
          </w:p>
        </w:tc>
        <w:tc>
          <w:tcPr>
            <w:tcW w:w="1170" w:type="dxa"/>
          </w:tcPr>
          <w:p w14:paraId="3B4F2C39" w14:textId="21DDD01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6760584D" w14:textId="48CF2FE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76287AC1" w14:textId="4F6E622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09FA36D4" w14:textId="58B93256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5F16081B" w14:textId="53CCECD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6B41CA46" w14:textId="77A73857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55F9D0CC" w14:textId="4DBB4736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</w:tr>
      <w:tr w:rsidR="00B86F8F" w:rsidRPr="002712D4" w14:paraId="67BCA62D" w14:textId="77777777" w:rsidTr="00AB1A67">
        <w:tc>
          <w:tcPr>
            <w:tcW w:w="2245" w:type="dxa"/>
            <w:vMerge/>
          </w:tcPr>
          <w:p w14:paraId="2602296F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3BFC5028" w14:textId="55842B37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599BD749" w14:textId="652956F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4A9EF3AB" w14:textId="7DF946C5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EF6D364" w14:textId="5F1CF0FF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7 (77.8)</w:t>
            </w:r>
          </w:p>
        </w:tc>
        <w:tc>
          <w:tcPr>
            <w:tcW w:w="990" w:type="dxa"/>
            <w:vAlign w:val="bottom"/>
          </w:tcPr>
          <w:p w14:paraId="6E188F39" w14:textId="7456432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(22.2)</w:t>
            </w:r>
          </w:p>
        </w:tc>
        <w:tc>
          <w:tcPr>
            <w:tcW w:w="1080" w:type="dxa"/>
            <w:vAlign w:val="bottom"/>
          </w:tcPr>
          <w:p w14:paraId="3F3B6D20" w14:textId="2C5BD557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(0)</w:t>
            </w:r>
          </w:p>
        </w:tc>
        <w:tc>
          <w:tcPr>
            <w:tcW w:w="715" w:type="dxa"/>
            <w:vMerge/>
            <w:vAlign w:val="center"/>
          </w:tcPr>
          <w:p w14:paraId="65D6425C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5ABAD661" w14:textId="77777777" w:rsidTr="00AB1A67">
        <w:tc>
          <w:tcPr>
            <w:tcW w:w="2245" w:type="dxa"/>
            <w:vMerge w:val="restart"/>
          </w:tcPr>
          <w:p w14:paraId="59CE641E" w14:textId="457F3954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F) Write a report summarizing results</w:t>
            </w:r>
          </w:p>
        </w:tc>
        <w:tc>
          <w:tcPr>
            <w:tcW w:w="1170" w:type="dxa"/>
          </w:tcPr>
          <w:p w14:paraId="5DE3CA7C" w14:textId="2A10E38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06DBCCFE" w14:textId="5A1422E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53" w:type="dxa"/>
            <w:vAlign w:val="bottom"/>
          </w:tcPr>
          <w:p w14:paraId="3953ECDD" w14:textId="518AD506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63B2A3CA" w14:textId="561B255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57425D7D" w14:textId="6A7546F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28096DD6" w14:textId="30312876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(1.25)</w:t>
            </w:r>
          </w:p>
        </w:tc>
        <w:tc>
          <w:tcPr>
            <w:tcW w:w="715" w:type="dxa"/>
            <w:vMerge w:val="restart"/>
            <w:vAlign w:val="center"/>
          </w:tcPr>
          <w:p w14:paraId="0CC77407" w14:textId="10017660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</w:t>
            </w:r>
          </w:p>
        </w:tc>
      </w:tr>
      <w:tr w:rsidR="00B86F8F" w:rsidRPr="002712D4" w14:paraId="43D5DA24" w14:textId="77777777" w:rsidTr="00AB1A67">
        <w:tc>
          <w:tcPr>
            <w:tcW w:w="2245" w:type="dxa"/>
            <w:vMerge/>
          </w:tcPr>
          <w:p w14:paraId="68171BF6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9988BAD" w14:textId="64F4CF23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4C33477C" w14:textId="68E9F475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664A3F81" w14:textId="7254122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9732170" w14:textId="1E4A5B36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6 (66.7)</w:t>
            </w:r>
          </w:p>
        </w:tc>
        <w:tc>
          <w:tcPr>
            <w:tcW w:w="990" w:type="dxa"/>
            <w:vAlign w:val="bottom"/>
          </w:tcPr>
          <w:p w14:paraId="60D69CE7" w14:textId="2599DAB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244E343E" w14:textId="1A679B5C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  <w:vAlign w:val="center"/>
          </w:tcPr>
          <w:p w14:paraId="6736FEB2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44E5F786" w14:textId="77777777" w:rsidTr="00AB1A67">
        <w:tc>
          <w:tcPr>
            <w:tcW w:w="2245" w:type="dxa"/>
            <w:vMerge w:val="restart"/>
          </w:tcPr>
          <w:p w14:paraId="63F9293F" w14:textId="4BF95215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G) Share work with others in a reproducible way</w:t>
            </w:r>
          </w:p>
        </w:tc>
        <w:tc>
          <w:tcPr>
            <w:tcW w:w="1170" w:type="dxa"/>
          </w:tcPr>
          <w:p w14:paraId="68B052F1" w14:textId="59F8F10E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4F6AC775" w14:textId="13BFD0D9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4E72C086" w14:textId="40BBBFB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80" w:type="dxa"/>
            <w:vAlign w:val="bottom"/>
          </w:tcPr>
          <w:p w14:paraId="2350B989" w14:textId="7DB5BF3D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990" w:type="dxa"/>
            <w:vAlign w:val="bottom"/>
          </w:tcPr>
          <w:p w14:paraId="6AEA82FA" w14:textId="4076947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80" w:type="dxa"/>
            <w:vAlign w:val="bottom"/>
          </w:tcPr>
          <w:p w14:paraId="41AF923A" w14:textId="202AD5F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07899A02" w14:textId="3CE3EA70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0.24</w:t>
            </w:r>
          </w:p>
        </w:tc>
      </w:tr>
      <w:tr w:rsidR="00B86F8F" w:rsidRPr="002712D4" w14:paraId="3D11CCCC" w14:textId="77777777" w:rsidTr="00AB1A67">
        <w:tc>
          <w:tcPr>
            <w:tcW w:w="2245" w:type="dxa"/>
            <w:vMerge/>
          </w:tcPr>
          <w:p w14:paraId="5A65EF92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3A4A93B" w14:textId="3E448A6A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2EFCF335" w14:textId="265FA08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390B09A0" w14:textId="3D9D2FAF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777D2300" w14:textId="523B169A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990" w:type="dxa"/>
            <w:vAlign w:val="bottom"/>
          </w:tcPr>
          <w:p w14:paraId="16B4BC13" w14:textId="3FDEFD78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(33.3)</w:t>
            </w:r>
          </w:p>
        </w:tc>
        <w:tc>
          <w:tcPr>
            <w:tcW w:w="1080" w:type="dxa"/>
            <w:vAlign w:val="bottom"/>
          </w:tcPr>
          <w:p w14:paraId="2E9FEF28" w14:textId="68AEB12B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(2)</w:t>
            </w:r>
          </w:p>
        </w:tc>
        <w:tc>
          <w:tcPr>
            <w:tcW w:w="715" w:type="dxa"/>
            <w:vMerge/>
            <w:vAlign w:val="center"/>
          </w:tcPr>
          <w:p w14:paraId="48A6AB98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B86F8F" w:rsidRPr="002712D4" w14:paraId="4CB2A40A" w14:textId="77777777" w:rsidTr="00AB1A67">
        <w:tc>
          <w:tcPr>
            <w:tcW w:w="2245" w:type="dxa"/>
            <w:vMerge w:val="restart"/>
          </w:tcPr>
          <w:p w14:paraId="7B0DDD2C" w14:textId="31211582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H) Find answers to data management questions</w:t>
            </w:r>
          </w:p>
        </w:tc>
        <w:tc>
          <w:tcPr>
            <w:tcW w:w="1170" w:type="dxa"/>
          </w:tcPr>
          <w:p w14:paraId="5DEAED53" w14:textId="1B4F76F5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Pre-class</w:t>
            </w:r>
          </w:p>
        </w:tc>
        <w:tc>
          <w:tcPr>
            <w:tcW w:w="1017" w:type="dxa"/>
            <w:vAlign w:val="bottom"/>
          </w:tcPr>
          <w:p w14:paraId="189F6B3C" w14:textId="10CFB0E4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1053" w:type="dxa"/>
            <w:vAlign w:val="bottom"/>
          </w:tcPr>
          <w:p w14:paraId="36E1ADB8" w14:textId="0AC1CE6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(25)</w:t>
            </w:r>
          </w:p>
        </w:tc>
        <w:tc>
          <w:tcPr>
            <w:tcW w:w="1080" w:type="dxa"/>
            <w:vAlign w:val="bottom"/>
          </w:tcPr>
          <w:p w14:paraId="0AD24C48" w14:textId="481737E1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(33.3)</w:t>
            </w:r>
          </w:p>
        </w:tc>
        <w:tc>
          <w:tcPr>
            <w:tcW w:w="990" w:type="dxa"/>
            <w:vAlign w:val="bottom"/>
          </w:tcPr>
          <w:p w14:paraId="40C510DE" w14:textId="3DC78802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1080" w:type="dxa"/>
            <w:vAlign w:val="bottom"/>
          </w:tcPr>
          <w:p w14:paraId="6324DCA7" w14:textId="2AB98354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2 (2)</w:t>
            </w:r>
          </w:p>
        </w:tc>
        <w:tc>
          <w:tcPr>
            <w:tcW w:w="715" w:type="dxa"/>
            <w:vMerge w:val="restart"/>
            <w:vAlign w:val="center"/>
          </w:tcPr>
          <w:p w14:paraId="1831E1DD" w14:textId="4B1767C9" w:rsidR="00B86F8F" w:rsidRPr="002712D4" w:rsidRDefault="00B86F8F" w:rsidP="00B86F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</w:tr>
      <w:tr w:rsidR="00B86F8F" w:rsidRPr="002712D4" w14:paraId="55BDE8CE" w14:textId="77777777" w:rsidTr="00AB1A67">
        <w:tc>
          <w:tcPr>
            <w:tcW w:w="2245" w:type="dxa"/>
            <w:vMerge/>
          </w:tcPr>
          <w:p w14:paraId="0BEAB945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6D233DA" w14:textId="529345DB" w:rsidR="00B86F8F" w:rsidRPr="002712D4" w:rsidRDefault="00B86F8F" w:rsidP="00B86F8F">
            <w:pPr>
              <w:rPr>
                <w:sz w:val="18"/>
                <w:szCs w:val="18"/>
              </w:rPr>
            </w:pPr>
            <w:r w:rsidRPr="002712D4">
              <w:rPr>
                <w:sz w:val="18"/>
                <w:szCs w:val="18"/>
              </w:rPr>
              <w:t>Post-class</w:t>
            </w:r>
          </w:p>
        </w:tc>
        <w:tc>
          <w:tcPr>
            <w:tcW w:w="1017" w:type="dxa"/>
            <w:vAlign w:val="bottom"/>
          </w:tcPr>
          <w:p w14:paraId="091C1D59" w14:textId="29EFF5C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053" w:type="dxa"/>
            <w:vAlign w:val="bottom"/>
          </w:tcPr>
          <w:p w14:paraId="169E8912" w14:textId="75B37E1E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1 (11.1)</w:t>
            </w:r>
          </w:p>
        </w:tc>
        <w:tc>
          <w:tcPr>
            <w:tcW w:w="1080" w:type="dxa"/>
            <w:vAlign w:val="bottom"/>
          </w:tcPr>
          <w:p w14:paraId="5AFD31AF" w14:textId="01FA4E05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990" w:type="dxa"/>
            <w:vAlign w:val="bottom"/>
          </w:tcPr>
          <w:p w14:paraId="3E67DE9E" w14:textId="7A8FD8E0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4 (44.4)</w:t>
            </w:r>
          </w:p>
        </w:tc>
        <w:tc>
          <w:tcPr>
            <w:tcW w:w="1080" w:type="dxa"/>
            <w:vAlign w:val="bottom"/>
          </w:tcPr>
          <w:p w14:paraId="31D41749" w14:textId="7B7FF904" w:rsidR="00B86F8F" w:rsidRPr="00B86F8F" w:rsidRDefault="00B86F8F" w:rsidP="00B86F8F">
            <w:pPr>
              <w:rPr>
                <w:sz w:val="18"/>
                <w:szCs w:val="18"/>
              </w:rPr>
            </w:pPr>
            <w:r w:rsidRPr="00B86F8F">
              <w:rPr>
                <w:color w:val="000000"/>
                <w:sz w:val="18"/>
                <w:szCs w:val="18"/>
              </w:rPr>
              <w:t>3 (1)</w:t>
            </w:r>
          </w:p>
        </w:tc>
        <w:tc>
          <w:tcPr>
            <w:tcW w:w="715" w:type="dxa"/>
            <w:vMerge/>
          </w:tcPr>
          <w:p w14:paraId="308E14BA" w14:textId="77777777" w:rsidR="00B86F8F" w:rsidRPr="002712D4" w:rsidRDefault="00B86F8F" w:rsidP="00B86F8F">
            <w:pPr>
              <w:rPr>
                <w:sz w:val="18"/>
                <w:szCs w:val="18"/>
              </w:rPr>
            </w:pPr>
          </w:p>
        </w:tc>
      </w:tr>
      <w:tr w:rsidR="001F6846" w:rsidRPr="002712D4" w14:paraId="54541242" w14:textId="77777777" w:rsidTr="001F6846">
        <w:tc>
          <w:tcPr>
            <w:tcW w:w="9350" w:type="dxa"/>
            <w:gridSpan w:val="8"/>
          </w:tcPr>
          <w:p w14:paraId="7A240EAE" w14:textId="50B19C07" w:rsidR="001F6846" w:rsidRPr="001F6846" w:rsidRDefault="001F6846" w:rsidP="002712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 p value is for the paired Wilcoxon Ranked Sign test (alpha = 0.05, two-tailed test)</w:t>
            </w:r>
          </w:p>
        </w:tc>
      </w:tr>
    </w:tbl>
    <w:p w14:paraId="05C19DB7" w14:textId="77777777" w:rsidR="0083352E" w:rsidRDefault="0083352E"/>
    <w:p w14:paraId="090D946A" w14:textId="534F76D3" w:rsidR="00F56A22" w:rsidRDefault="006B5684">
      <w:r>
        <w:t>Of the 9 students who completed the Week 14 questionnaire, 8 (88%) reported meeting their course goals for the semester and 1 (11%) reported somewhat meeting their goals for the semester (Figure 1). None of the students reported not meeting their goals.</w:t>
      </w:r>
    </w:p>
    <w:p w14:paraId="3042E0D6" w14:textId="77777777" w:rsidR="006B5684" w:rsidRDefault="006B5684"/>
    <w:p w14:paraId="07E813F0" w14:textId="359D0251" w:rsidR="006B5684" w:rsidRDefault="007B25E0" w:rsidP="007B25E0">
      <w:pPr>
        <w:jc w:val="center"/>
      </w:pPr>
      <w:r>
        <w:rPr>
          <w:noProof/>
        </w:rPr>
        <w:lastRenderedPageBreak/>
        <w:drawing>
          <wp:inline distT="0" distB="0" distL="0" distR="0" wp14:anchorId="636EAD13" wp14:editId="2ECCF233">
            <wp:extent cx="4178594" cy="2785730"/>
            <wp:effectExtent l="0" t="0" r="0" b="0"/>
            <wp:docPr id="1756745400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45400" name="Picture 1" descr="A graph with a b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33" cy="27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3E67" w14:textId="5C867F42" w:rsidR="007B25E0" w:rsidRDefault="007B25E0">
      <w:r>
        <w:t>Figure 1. Student responses to the Week 14 survey question about whether they have reached their goals for the course.</w:t>
      </w:r>
    </w:p>
    <w:p w14:paraId="377822EE" w14:textId="77777777" w:rsidR="006B5684" w:rsidRDefault="006B5684"/>
    <w:p w14:paraId="7DEFBA65" w14:textId="17B5EF54" w:rsidR="00412E3C" w:rsidRPr="00AD2858" w:rsidRDefault="00412E3C">
      <w:pPr>
        <w:rPr>
          <w:b/>
          <w:bCs/>
        </w:rPr>
      </w:pPr>
      <w:r w:rsidRPr="00AD2858">
        <w:rPr>
          <w:b/>
          <w:bCs/>
        </w:rPr>
        <w:t>4. Discussion</w:t>
      </w:r>
    </w:p>
    <w:p w14:paraId="7FC373FC" w14:textId="197CA3BF" w:rsidR="00412E3C" w:rsidRDefault="00AD2858">
      <w:r>
        <w:t>This is the section where you would contextualize your results in the broader lecture.</w:t>
      </w:r>
    </w:p>
    <w:p w14:paraId="3AEA0003" w14:textId="77777777" w:rsidR="00EA38F1" w:rsidRDefault="00EA38F1"/>
    <w:p w14:paraId="6A4F4BEB" w14:textId="32CB9B95" w:rsidR="00EA38F1" w:rsidRDefault="00AD2858">
      <w:r>
        <w:t>Here is where you would highlight the strengths and mention the limitations of your work.</w:t>
      </w:r>
    </w:p>
    <w:p w14:paraId="2DCC8FF0" w14:textId="77777777" w:rsidR="00EA38F1" w:rsidRDefault="00EA38F1"/>
    <w:p w14:paraId="6C25B03D" w14:textId="5A73D5B9" w:rsidR="00412E3C" w:rsidRPr="00AD2858" w:rsidRDefault="00412E3C">
      <w:pPr>
        <w:rPr>
          <w:b/>
          <w:bCs/>
        </w:rPr>
      </w:pPr>
      <w:r w:rsidRPr="00AD2858">
        <w:rPr>
          <w:b/>
          <w:bCs/>
        </w:rPr>
        <w:t>5. Conclusions</w:t>
      </w:r>
    </w:p>
    <w:p w14:paraId="6B4736CA" w14:textId="77777777" w:rsidR="00AD2858" w:rsidRDefault="00AD2858">
      <w:r>
        <w:t>Here is where you would emphasize the main take-away point of your work.</w:t>
      </w:r>
    </w:p>
    <w:p w14:paraId="7CD28F64" w14:textId="77777777" w:rsidR="00AD2858" w:rsidRDefault="00AD2858"/>
    <w:p w14:paraId="5DFEA42F" w14:textId="0F2764F5" w:rsidR="00AD2858" w:rsidRDefault="00AD2858">
      <w:pPr>
        <w:rPr>
          <w:b/>
          <w:bCs/>
        </w:rPr>
      </w:pPr>
      <w:r>
        <w:rPr>
          <w:b/>
          <w:bCs/>
        </w:rPr>
        <w:t>Acknowledgements</w:t>
      </w:r>
    </w:p>
    <w:p w14:paraId="3EC4E757" w14:textId="63AAF2D6" w:rsidR="00AD2858" w:rsidRDefault="00AD2858">
      <w:r>
        <w:t xml:space="preserve">Thank you to the students of HK 513 (Fall 2024) for their participation this semester and their contributions to this work. </w:t>
      </w:r>
    </w:p>
    <w:p w14:paraId="49143757" w14:textId="77777777" w:rsidR="00AD2858" w:rsidRDefault="00AD2858"/>
    <w:p w14:paraId="075D7B09" w14:textId="0FF08C70" w:rsidR="00493492" w:rsidRDefault="00AD2858">
      <w:r>
        <w:t xml:space="preserve">The code and deidentified data used in this analysis are available on the authors GitHub page: </w:t>
      </w:r>
      <w:hyperlink r:id="rId5" w:history="1">
        <w:r w:rsidRPr="004721D4">
          <w:rPr>
            <w:rStyle w:val="Hyperlink"/>
          </w:rPr>
          <w:t>https://github.com/smartenies/hk513_fall24_repro_deliverable</w:t>
        </w:r>
      </w:hyperlink>
      <w:r>
        <w:t xml:space="preserve">. </w:t>
      </w:r>
    </w:p>
    <w:p w14:paraId="678A30FA" w14:textId="2BCE1D17" w:rsidR="00AD2858" w:rsidRDefault="00AD2858">
      <w:r>
        <w:br w:type="page"/>
      </w:r>
    </w:p>
    <w:p w14:paraId="281852BA" w14:textId="0BB3AF6C" w:rsidR="00493492" w:rsidRPr="00AD2858" w:rsidRDefault="00493492">
      <w:pPr>
        <w:rPr>
          <w:b/>
          <w:bCs/>
        </w:rPr>
      </w:pPr>
      <w:r w:rsidRPr="00AD2858">
        <w:rPr>
          <w:b/>
          <w:bCs/>
        </w:rPr>
        <w:lastRenderedPageBreak/>
        <w:t>References</w:t>
      </w:r>
    </w:p>
    <w:p w14:paraId="433A80AB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493492">
        <w:rPr>
          <w:rFonts w:ascii="Aptos" w:cs="Times New Roman"/>
          <w:kern w:val="0"/>
        </w:rPr>
        <w:t>R Core Team. 2024. R: A language and environment for statistical computing.</w:t>
      </w:r>
    </w:p>
    <w:p w14:paraId="3666F0F8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 w:rsidRPr="00493492">
        <w:rPr>
          <w:rFonts w:ascii="Aptos" w:cs="Times New Roman"/>
          <w:kern w:val="0"/>
        </w:rPr>
        <w:t>Simon Garnier, Noam Ross, Robert Rudis, Antônio P. Camargo, Marco Sciaini, Cédric Scherer. 2024. viridis(Lite) - Colorblind-Friendly Color Maps for R.</w:t>
      </w:r>
    </w:p>
    <w:p w14:paraId="2637338F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 w:rsidRPr="00493492">
        <w:rPr>
          <w:rFonts w:ascii="Aptos" w:cs="Times New Roman"/>
          <w:kern w:val="0"/>
        </w:rPr>
        <w:t xml:space="preserve">Wickham H. 2016. </w:t>
      </w:r>
      <w:r w:rsidRPr="00493492">
        <w:rPr>
          <w:rFonts w:ascii="Aptos" w:cs="Times New Roman"/>
          <w:i/>
          <w:iCs/>
          <w:kern w:val="0"/>
        </w:rPr>
        <w:t>ggplot2: Elegant Graphics for Data Analysis</w:t>
      </w:r>
      <w:r w:rsidRPr="00493492">
        <w:rPr>
          <w:rFonts w:ascii="Aptos" w:cs="Times New Roman"/>
          <w:kern w:val="0"/>
        </w:rPr>
        <w:t>. Springer-Verlag New York.</w:t>
      </w:r>
    </w:p>
    <w:p w14:paraId="2EC1CA25" w14:textId="77777777" w:rsidR="00493492" w:rsidRPr="00493492" w:rsidRDefault="00493492" w:rsidP="00493492">
      <w:pPr>
        <w:pStyle w:val="Bibliography"/>
        <w:rPr>
          <w:rFonts w:ascii="Aptos" w:cs="Times New Roman"/>
          <w:kern w:val="0"/>
        </w:rPr>
      </w:pPr>
      <w:r w:rsidRPr="00493492">
        <w:rPr>
          <w:rFonts w:ascii="Aptos" w:cs="Times New Roman"/>
          <w:kern w:val="0"/>
        </w:rPr>
        <w:t>Wickham H, Averick M, Bryan J, Chang W, McGowan LD, François R, et al. 2019. Welcome to the Tidyverse. Journal of Open Source Software 4:1686; doi:10.21105/joss.01686.</w:t>
      </w:r>
    </w:p>
    <w:p w14:paraId="146EB503" w14:textId="5B74B512" w:rsidR="00493492" w:rsidRDefault="00493492">
      <w:r>
        <w:fldChar w:fldCharType="end"/>
      </w:r>
    </w:p>
    <w:sectPr w:rsidR="0049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8F"/>
    <w:rsid w:val="000205DF"/>
    <w:rsid w:val="00037AE0"/>
    <w:rsid w:val="00093352"/>
    <w:rsid w:val="000C1F78"/>
    <w:rsid w:val="00131C10"/>
    <w:rsid w:val="001526C9"/>
    <w:rsid w:val="001B524D"/>
    <w:rsid w:val="001F6846"/>
    <w:rsid w:val="00253964"/>
    <w:rsid w:val="00262FC9"/>
    <w:rsid w:val="002712D4"/>
    <w:rsid w:val="0028029F"/>
    <w:rsid w:val="003770FA"/>
    <w:rsid w:val="003C2293"/>
    <w:rsid w:val="00412E3C"/>
    <w:rsid w:val="00493492"/>
    <w:rsid w:val="004E65C9"/>
    <w:rsid w:val="00596F03"/>
    <w:rsid w:val="00632E88"/>
    <w:rsid w:val="006B24DD"/>
    <w:rsid w:val="006B5684"/>
    <w:rsid w:val="006C2174"/>
    <w:rsid w:val="006E21DB"/>
    <w:rsid w:val="006E4792"/>
    <w:rsid w:val="006F6A61"/>
    <w:rsid w:val="007378A6"/>
    <w:rsid w:val="00765120"/>
    <w:rsid w:val="00787969"/>
    <w:rsid w:val="007B25E0"/>
    <w:rsid w:val="0080305D"/>
    <w:rsid w:val="0083352E"/>
    <w:rsid w:val="0083572C"/>
    <w:rsid w:val="00876AA4"/>
    <w:rsid w:val="008F443C"/>
    <w:rsid w:val="00933543"/>
    <w:rsid w:val="009448A8"/>
    <w:rsid w:val="009450EB"/>
    <w:rsid w:val="00A04F29"/>
    <w:rsid w:val="00A46249"/>
    <w:rsid w:val="00AA0611"/>
    <w:rsid w:val="00AC6F60"/>
    <w:rsid w:val="00AD2858"/>
    <w:rsid w:val="00B86F8F"/>
    <w:rsid w:val="00B94015"/>
    <w:rsid w:val="00BB73E3"/>
    <w:rsid w:val="00BD3857"/>
    <w:rsid w:val="00C214C9"/>
    <w:rsid w:val="00C2448F"/>
    <w:rsid w:val="00CC0DFF"/>
    <w:rsid w:val="00DB51D3"/>
    <w:rsid w:val="00EA38F1"/>
    <w:rsid w:val="00F40F8E"/>
    <w:rsid w:val="00F56A22"/>
    <w:rsid w:val="00FA5948"/>
    <w:rsid w:val="00FD1F2F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7231"/>
  <w15:chartTrackingRefBased/>
  <w15:docId w15:val="{447B40C5-A6A3-D949-8222-204D0187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8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493492"/>
    <w:pPr>
      <w:spacing w:after="240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AD28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8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3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martenies/hk513_fall24_repro_deliverabl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Martenies, Sheena</dc:creator>
  <cp:keywords/>
  <dc:description/>
  <cp:lastModifiedBy>Martenies, Sheena</cp:lastModifiedBy>
  <cp:revision>8</cp:revision>
  <dcterms:created xsi:type="dcterms:W3CDTF">2024-12-03T20:13:00Z</dcterms:created>
  <dcterms:modified xsi:type="dcterms:W3CDTF">2024-12-06T20:49:00Z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id="AYMFQLS8"/&gt;&lt;style id="http://www.zotero.org/styles/environmental-health-perspectives" hasBibliography="1" bibliographyStyleHasBeenSet="1"/&gt;&lt;prefs&gt;&lt;pref name="fieldType" value="Field"/&gt;&lt;/prefs&gt;&lt;/da</vt:lpwstr>
  </property>
  <property fmtid="{D5CDD505-2E9C-101B-9397-08002B2CF9AE}" pid="3" name="ZOTERO_PREF_2">
    <vt:lpwstr>ta&gt;</vt:lpwstr>
  </property>
</Properties>
</file>