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B6834"/>
          <w:sz w:val="44"/>
          <w:szCs w:val="44"/>
        </w:rPr>
        <w:t xml:space="preserve">MODELO DE NEGOCIO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B2B27"/>
          <w:sz w:val="34"/>
          <w:szCs w:val="34"/>
        </w:rPr>
        <w:t xml:space="preserve">Línea +40</w:t>
      </w:r>
    </w:p>
    <w:p>
      <w:pPr>
        <w:spacing w:after="30"/>
      </w:pPr>
      <w:r>
        <w:rPr>
          <w:rFonts w:ascii="Calibri" w:cs="Calibri" w:eastAsia="Calibri" w:hAnsi="Calibri"/>
          <w:color w:val="6B6B66"/>
          <w:sz w:val="24"/>
          <w:szCs w:val="24"/>
        </w:rPr>
        <w:t xml:space="preserve">Smart Foods  ×  NO PAUSA  ×  PGN</w:t>
      </w:r>
    </w:p>
    <w:p>
      <w:pPr>
        <w:pBdr>
          <w:bottom w:val="single" w:color="4B6834" w:sz="12" w:space="8"/>
        </w:pBdr>
        <w:spacing w:after="160"/>
      </w:pPr>
      <w:r>
        <w:rPr>
          <w:rFonts w:ascii="Calibri" w:cs="Calibri" w:eastAsia="Calibri" w:hAnsi="Calibri"/>
          <w:i/>
          <w:iCs/>
          <w:color w:val="6B6B66"/>
          <w:sz w:val="18"/>
          <w:szCs w:val="18"/>
        </w:rPr>
        <w:t xml:space="preserve">Propuesta de co-desarrollo y fabricación  ·  Documento de trabajo  ·  Julio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B6834" w:sz="24"/>
              <w:bottom w:val="none"/>
              <w:right w:val="none"/>
            </w:tcBorders>
            <w:shd w:fill="F3EF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i/>
                <w:iCs/>
                <w:color w:val="44443E"/>
              </w:rPr>
              <w:t xml:space="preserve">Nombre comercial de la línea: </w:t>
            </w:r>
            <w:r>
              <w:rPr>
                <w:b/>
                <w:bCs/>
                <w:i/>
                <w:iCs/>
                <w:color w:val="44443E"/>
              </w:rPr>
              <w:t xml:space="preserve">a definir</w:t>
            </w:r>
            <w:r>
              <w:rPr>
                <w:i/>
                <w:iCs/>
                <w:color w:val="44443E"/>
              </w:rPr>
              <w:t xml:space="preserve"> — debe ser ANMAT-safe (no se puede rotular “menopausia / andropausia / climaterio”; se posiciona como “+40 / vitalidad / bienestar en la transición”).</w:t>
            </w:r>
          </w:p>
          <w:p>
            <w:pPr>
              <w:spacing w:after="60" w:line="264"/>
            </w:pPr>
            <w:r>
              <w:rPr>
                <w:i/>
                <w:iCs/>
                <w:color w:val="44443E"/>
              </w:rPr>
              <w:t xml:space="preserve">Todas las cifras económicas son </w:t>
            </w:r>
            <w:r>
              <w:rPr>
                <w:b/>
                <w:bCs/>
                <w:i/>
                <w:iCs/>
                <w:color w:val="44443E"/>
              </w:rPr>
              <w:t xml:space="preserve">supuestos del modelo a validar con la cotización real de PGN</w:t>
            </w:r>
            <w:r>
              <w:rPr>
                <w:i/>
                <w:iCs/>
                <w:color w:val="44443E"/>
              </w:rPr>
              <w:t xml:space="preserve">. Moneda base: USD (estabilidad frente a volatilidad ARS). Tipo de cambio de referencia: ARS 1.300 / USD (actualizar a la fecha de cierre).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1.  Resumen ejecutivo</w:t>
      </w:r>
    </w:p>
    <w:p>
      <w:pPr>
        <w:spacing w:after="120" w:line="276"/>
      </w:pPr>
      <w:r>
        <w:t xml:space="preserve">Proponemos co-desarrollar una línea de dos suplementos dietarios de grado farmacéutico para el segmento +40 (transición hormonal femenina y masculina), construida sobre activos ya autorizados en el Código Alimentario Argentino para asegurar un registro RNPA expedito.</w:t>
      </w:r>
    </w:p>
    <w:p>
      <w:pPr>
        <w:spacing w:after="120" w:line="276"/>
      </w:pPr>
      <w:r>
        <w:t xml:space="preserve">La estructura es tripartita: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Smart Foods (Andrés)</w:t>
      </w:r>
      <w:r>
        <w:t xml:space="preserve"> — formulación, marca, operación comercial y e-commerce.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NO PAUSA</w:t>
      </w:r>
      <w:r>
        <w:t xml:space="preserve"> — marca, audiencia y distribución de contenido (comunidad +40 en LATAM).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PGN</w:t>
      </w:r>
      <w:r>
        <w:t xml:space="preserve"> — fabricación e inversión (capital de trabajo de los lotes).</w:t>
      </w:r>
    </w:p>
    <w:p>
      <w:pPr>
        <w:spacing w:after="120" w:line="276"/>
      </w:pPr>
      <w:r>
        <w:t xml:space="preserve">El pedido concreto a PGN es: </w:t>
      </w:r>
      <w:r>
        <w:rPr>
          <w:b/>
          <w:bCs/>
        </w:rPr>
        <w:t xml:space="preserve">fabricar un lote piloto y participar como socio-inversor de la línea</w:t>
      </w:r>
      <w:r>
        <w:t xml:space="preserve">, con un retorno dual (margen de fabricación + participación en la utilidad).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2.  La oportunidad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La categoría +40 / salud hormonal es una de las de mayor crecimiento en nutracéuticos, históricamente desatendida y sin producto masivo compliant en Argentina.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NO PAUSA ya construyó y educó a la audiencia: demanda existente, caliente y con confianza en la marca.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La barrera no es la demanda, es tener un producto </w:t>
      </w:r>
      <w:r>
        <w:rPr>
          <w:b/>
          <w:bCs/>
        </w:rPr>
        <w:t xml:space="preserve">legalmente blindado y honesto</w:t>
      </w:r>
      <w:r>
        <w:t xml:space="preserve">. Nuestra formulación esquiva los cuellos de botella regulatorios (ashwagandha, black cohosh) y respeta todos los topes del CAA.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3.  Los tres socios</w:t>
      </w:r>
    </w:p>
    <w:tbl>
      <w:tblPr>
        <w:tblW w:type="dxa" w:w="9360"/>
        <w:tblBorders>
          <w:top w:val="single" w:color="D9D0B6" w:sz="2"/>
          <w:left w:val="single" w:color="D9D0B6" w:sz="2"/>
          <w:bottom w:val="single" w:color="D9D0B6" w:sz="2"/>
          <w:right w:val="single" w:color="D9D0B6" w:sz="2"/>
          <w:insideH w:val="single" w:color="D9D0B6" w:sz="2"/>
          <w:insideV w:val="single" w:color="D9D0B6" w:sz="2"/>
        </w:tblBorders>
      </w:tblPr>
      <w:tblGrid>
        <w:gridCol w:w="1700"/>
        <w:gridCol w:w="4130"/>
        <w:gridCol w:w="3530"/>
      </w:tblGrid>
      <w:tr>
        <w:trPr>
          <w:tblHeader/>
        </w:trPr>
        <w:tc>
          <w:tcPr>
            <w:tcW w:type="dxa" w:w="17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Socio</w:t>
            </w:r>
          </w:p>
        </w:tc>
        <w:tc>
          <w:tcPr>
            <w:tcW w:type="dxa" w:w="413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Aporta</w:t>
            </w:r>
          </w:p>
        </w:tc>
        <w:tc>
          <w:tcPr>
            <w:tcW w:type="dxa" w:w="353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Recibe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Smart Foods</w:t>
            </w:r>
          </w:p>
        </w:tc>
        <w:tc>
          <w:tcPr>
            <w:tcW w:type="dxa" w:w="413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Formulación, desarrollo, marca-producto, operación comercial, e-commerce, gestión RNPA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Participación en utilidad operativa + gestión de la línea</w:t>
            </w:r>
          </w:p>
        </w:tc>
      </w:tr>
      <w:tr>
        <w:tc>
          <w:tcPr>
            <w:tcW w:type="dxa" w:w="17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NO PAUSA</w:t>
            </w:r>
          </w:p>
        </w:tc>
        <w:tc>
          <w:tcPr>
            <w:tcW w:type="dxa" w:w="413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Marca, audiencia, credibilidad, contenido y distribución</w:t>
            </w:r>
          </w:p>
        </w:tc>
        <w:tc>
          <w:tcPr>
            <w:tcW w:type="dxa" w:w="353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Royalty sobre venta neta (% del sell-out)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PGN</w:t>
            </w:r>
          </w:p>
        </w:tc>
        <w:tc>
          <w:tcPr>
            <w:tcW w:type="dxa" w:w="413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Fabricación (planta habilitada), control de calidad, capital de trabajo de los lotes</w:t>
            </w:r>
          </w:p>
        </w:tc>
        <w:tc>
          <w:tcPr>
            <w:tcW w:type="dxa" w:w="353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Margen de fabricación + participación en utilidad como inversor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4.  Los productos</w:t>
      </w:r>
    </w:p>
    <w:p>
      <w:pPr>
        <w:spacing w:after="120" w:line="276"/>
      </w:pPr>
      <w:r>
        <w:t xml:space="preserve">Dos SKUs complementarios (detalle de fórmula en documento aparte — Fórmula para PGN):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SKU 1 — Cápsulas “Transición +40” (femenino). </w:t>
      </w:r>
      <w:r>
        <w:t xml:space="preserve">60 cáps / 30 días. Schisandra + maca gelatinizada + ginseng + magnesio + B6 + D3. Foco: energía, ánimo, soporte de la transición y salud ósea.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SKU 2 — Polvo “Creatina +40” (unisex). </w:t>
      </w:r>
      <w:r>
        <w:t xml:space="preserve">30 servicios. Creatina 5 g + maca gelatinizada 1,5 g + ginseng + zinc + vitamina C. Foco: músculo, energía, cognición y longevidad. </w:t>
      </w:r>
      <w:r>
        <w:rPr>
          <w:b/>
          <w:bCs/>
        </w:rPr>
        <w:t xml:space="preserve">Producto ancla de la línea.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B6834" w:sz="24"/>
              <w:bottom w:val="none"/>
              <w:right w:val="none"/>
            </w:tcBorders>
            <w:shd w:fill="F3EF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  <w:i/>
                <w:iCs/>
                <w:color w:val="44443E"/>
              </w:rPr>
              <w:t xml:space="preserve">Nota de fabricación (SKU 1): </w:t>
            </w:r>
            <w:r>
              <w:rPr>
                <w:i/>
                <w:iCs/>
                <w:color w:val="44443E"/>
              </w:rPr>
              <w:t xml:space="preserve">validar volumen de llenado en cápsula 00 — el aporte de magnesio como bisglicinato es voluminoso; puede requerir ajuste de forma/dosis o 3ª cápsula.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5.  Estructura económica del acuerdo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A5228"/>
          <w:sz w:val="23"/>
          <w:szCs w:val="23"/>
        </w:rPr>
        <w:t xml:space="preserve">5.1  Cómo se reparte cada venta</w:t>
      </w:r>
    </w:p>
    <w:p>
      <w:pPr>
        <w:spacing w:after="120" w:line="276"/>
      </w:pPr>
      <w:r>
        <w:t xml:space="preserve">Sobre la </w:t>
      </w:r>
      <w:r>
        <w:rPr>
          <w:b/>
          <w:bCs/>
        </w:rPr>
        <w:t xml:space="preserve">venta neta</w:t>
      </w:r>
      <w:r>
        <w:t xml:space="preserve"> (precio sin IVA) de cada unidad, en orden: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Royalty NO PAUSA</w:t>
      </w:r>
      <w:r>
        <w:t xml:space="preserve"> = 10% de la venta neta (off the top, sobre sell-out).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Costo de producto</w:t>
      </w:r>
      <w:r>
        <w:t xml:space="preserve"> = precio de transferencia que la línea le paga a PGN (COGS + margen de fabricación de PGN).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Costos de venta</w:t>
      </w:r>
      <w:r>
        <w:t xml:space="preserve"> (fulfillment, pasarela de pago, envío) ≈ 15% de la venta neta.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Marketing y contenido</w:t>
      </w:r>
      <w:r>
        <w:t xml:space="preserve"> ≈ 8% de la venta neta.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= Utilidad operativa de la línea</w:t>
      </w:r>
      <w:r>
        <w:t xml:space="preserve">, que se reparte 50% PGN / 50% Smart Foods.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B6834" w:sz="24"/>
              <w:bottom w:val="none"/>
              <w:right w:val="none"/>
            </w:tcBorders>
            <w:shd w:fill="F3EF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i/>
                <w:iCs/>
                <w:color w:val="44443E"/>
              </w:rPr>
              <w:t xml:space="preserve">Los porcentajes de reparto (royalty NO PAUSA y split PGN/SF) son la </w:t>
            </w:r>
            <w:r>
              <w:rPr>
                <w:b/>
                <w:bCs/>
                <w:i/>
                <w:iCs/>
                <w:color w:val="44443E"/>
              </w:rPr>
              <w:t xml:space="preserve">palanca de negociación</w:t>
            </w:r>
            <w:r>
              <w:rPr>
                <w:i/>
                <w:iCs/>
                <w:color w:val="44443E"/>
              </w:rPr>
              <w:t xml:space="preserve">. El 50/50 es posición de apertura y puede ajustarse según el aporte de capital de cada parte.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A5228"/>
          <w:sz w:val="23"/>
          <w:szCs w:val="23"/>
        </w:rPr>
        <w:t xml:space="preserve">5.2  Doble retorno de PGN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Como fabricante: </w:t>
      </w:r>
      <w:r>
        <w:t xml:space="preserve">margen de fabricación incluido en el precio de transferencia → efectivo garantizado por unidad vendida, independiente del resultado de la línea.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Como inversor: </w:t>
      </w:r>
      <w:r>
        <w:t xml:space="preserve">50% de la utilidad operativa.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6.  Pricing y unit economics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A5228"/>
          <w:sz w:val="23"/>
          <w:szCs w:val="23"/>
        </w:rPr>
        <w:t xml:space="preserve">6.1  Precios sugeridos al público (PVP)</w:t>
      </w:r>
    </w:p>
    <w:tbl>
      <w:tblPr>
        <w:tblW w:type="dxa" w:w="9360"/>
        <w:tblBorders>
          <w:top w:val="single" w:color="D9D0B6" w:sz="2"/>
          <w:left w:val="single" w:color="D9D0B6" w:sz="2"/>
          <w:bottom w:val="single" w:color="D9D0B6" w:sz="2"/>
          <w:right w:val="single" w:color="D9D0B6" w:sz="2"/>
          <w:insideH w:val="single" w:color="D9D0B6" w:sz="2"/>
          <w:insideV w:val="single" w:color="D9D0B6" w:sz="2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20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PVP (ARS)</w:t>
            </w:r>
          </w:p>
        </w:tc>
        <w:tc>
          <w:tcPr>
            <w:tcW w:type="dxa" w:w="20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PVP (USD)</w:t>
            </w:r>
          </w:p>
        </w:tc>
        <w:tc>
          <w:tcPr>
            <w:tcW w:type="dxa" w:w="20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 neta ex-IVA (USD)</w:t>
            </w:r>
          </w:p>
        </w:tc>
      </w:tr>
      <w:t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Polvo “Creatina +40”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$ 41.900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~ USD 32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USD 26,4</w:t>
            </w:r>
          </w:p>
        </w:tc>
      </w:tr>
      <w:tr>
        <w:tc>
          <w:tcPr>
            <w:tcW w:type="dxa" w:w="3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Cápsulas “Transición +40”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$ 38.900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~ USD 30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USD 24,8</w:t>
            </w:r>
          </w:p>
        </w:tc>
      </w:tr>
    </w:tbl>
    <w:p>
      <w:pPr>
        <w:spacing w:after="120" w:line="276"/>
      </w:pPr>
      <w:r>
        <w:rPr>
          <w:i/>
          <w:iCs/>
          <w:color w:val="6B6B66"/>
          <w:sz w:val="18"/>
          <w:szCs w:val="18"/>
        </w:rPr>
        <w:t xml:space="preserve">PVP a validar con test de mercado y con el posicionamiento premium de NO PAUSA.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A5228"/>
          <w:sz w:val="23"/>
          <w:szCs w:val="23"/>
        </w:rPr>
        <w:t xml:space="preserve">6.2  Waterfall por unidad (a escala ≥ 5.000 u)</w:t>
      </w:r>
    </w:p>
    <w:p>
      <w:pPr>
        <w:spacing w:after="120" w:line="276"/>
      </w:pPr>
      <w:r>
        <w:rPr>
          <w:b/>
          <w:bCs/>
        </w:rPr>
        <w:t xml:space="preserve">Polvo “Creatina +40”</w:t>
      </w:r>
      <w:r>
        <w:rPr>
          <w:color w:val="6B6B66"/>
        </w:rPr>
        <w:t xml:space="preserve">  —  margen bruto 68%</w:t>
      </w:r>
    </w:p>
    <w:tbl>
      <w:tblPr>
        <w:tblW w:type="dxa" w:w="9360"/>
        <w:tblBorders>
          <w:top w:val="single" w:color="D9D0B6" w:sz="2"/>
          <w:left w:val="single" w:color="D9D0B6" w:sz="2"/>
          <w:bottom w:val="single" w:color="D9D0B6" w:sz="2"/>
          <w:right w:val="single" w:color="D9D0B6" w:sz="2"/>
          <w:insideH w:val="single" w:color="D9D0B6" w:sz="2"/>
          <w:insideV w:val="single" w:color="D9D0B6" w:sz="2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0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USD/u</w:t>
            </w:r>
          </w:p>
        </w:tc>
      </w:tr>
      <w:t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Venta neta (ex-IVA)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26,40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− Royalty NO PAUSA (10%)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2,64</w:t>
            </w:r>
          </w:p>
        </w:tc>
      </w:tr>
      <w:t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− Costo de producto (transfer a PGN)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8,45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6B66"/>
                <w:sz w:val="19"/>
                <w:szCs w:val="19"/>
              </w:rPr>
              <w:t xml:space="preserve">    de los cuales, margen de fabricación PGN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6B66"/>
                <w:sz w:val="19"/>
                <w:szCs w:val="19"/>
              </w:rPr>
              <w:t xml:space="preserve">1,95</w:t>
            </w:r>
          </w:p>
        </w:tc>
      </w:tr>
      <w:t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− Costos de venta (15%)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3,96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− Marketing / contenido (8%)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2,11</w:t>
            </w:r>
          </w:p>
        </w:tc>
      </w:tr>
      <w:tr>
        <w:tc>
          <w:tcPr>
            <w:tcW w:type="dxa" w:w="736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= Utilidad operativa</w:t>
            </w:r>
          </w:p>
        </w:tc>
        <w:tc>
          <w:tcPr>
            <w:tcW w:type="dxa" w:w="200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9,24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→ PGN (50% utilidad)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4,62</w:t>
            </w:r>
          </w:p>
        </w:tc>
      </w:tr>
      <w:t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→ Smart Foods (50% utilidad)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4,62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Total a PGN (utilidad + fabricación)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6,57</w:t>
            </w:r>
          </w:p>
        </w:tc>
      </w:tr>
      <w:t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Total a Smart Foods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4,62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Total a NO PAUSA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2,64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Cápsulas “Transición +40”</w:t>
      </w:r>
      <w:r>
        <w:rPr>
          <w:color w:val="6B6B66"/>
        </w:rPr>
        <w:t xml:space="preserve">  —  margen bruto 71%</w:t>
      </w:r>
    </w:p>
    <w:tbl>
      <w:tblPr>
        <w:tblW w:type="dxa" w:w="9360"/>
        <w:tblBorders>
          <w:top w:val="single" w:color="D9D0B6" w:sz="2"/>
          <w:left w:val="single" w:color="D9D0B6" w:sz="2"/>
          <w:bottom w:val="single" w:color="D9D0B6" w:sz="2"/>
          <w:right w:val="single" w:color="D9D0B6" w:sz="2"/>
          <w:insideH w:val="single" w:color="D9D0B6" w:sz="2"/>
          <w:insideV w:val="single" w:color="D9D0B6" w:sz="2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0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USD/u</w:t>
            </w:r>
          </w:p>
        </w:tc>
      </w:tr>
      <w:t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Venta neta (ex-IVA)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24,80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− Royalty NO PAUSA (10%)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2,48</w:t>
            </w:r>
          </w:p>
        </w:tc>
      </w:tr>
      <w:t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− Costo de producto (transfer a PGN)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7,15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6B66"/>
                <w:sz w:val="19"/>
                <w:szCs w:val="19"/>
              </w:rPr>
              <w:t xml:space="preserve">    de los cuales, margen de fabricación PGN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6B66"/>
                <w:sz w:val="19"/>
                <w:szCs w:val="19"/>
              </w:rPr>
              <w:t xml:space="preserve">1,65</w:t>
            </w:r>
          </w:p>
        </w:tc>
      </w:tr>
      <w:t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− Costos de venta (15%)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3,72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− Marketing / contenido (8%)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1,98</w:t>
            </w:r>
          </w:p>
        </w:tc>
      </w:tr>
      <w:tr>
        <w:tc>
          <w:tcPr>
            <w:tcW w:type="dxa" w:w="736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= Utilidad operativa</w:t>
            </w:r>
          </w:p>
        </w:tc>
        <w:tc>
          <w:tcPr>
            <w:tcW w:type="dxa" w:w="200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9,47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→ PGN (50% utilidad)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4,74</w:t>
            </w:r>
          </w:p>
        </w:tc>
      </w:tr>
      <w:t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→ Smart Foods (50% utilidad)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4,74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Total a PGN (utilidad + fabricación)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6,39</w:t>
            </w:r>
          </w:p>
        </w:tc>
      </w:tr>
      <w:tr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Total a Smart Foods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4,74</w:t>
            </w:r>
          </w:p>
        </w:tc>
      </w:tr>
      <w:tr>
        <w:tc>
          <w:tcPr>
            <w:tcW w:type="dxa" w:w="7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Total a NO PAUSA</w:t>
            </w:r>
          </w:p>
        </w:tc>
        <w:tc>
          <w:tcPr>
            <w:tcW w:type="dxa" w:w="20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2,48</w:t>
            </w:r>
          </w:p>
        </w:tc>
      </w:tr>
    </w:tbl>
    <w:p>
      <w:pPr>
        <w:spacing w:after="120" w:line="276"/>
      </w:pPr>
      <w:r>
        <w:rPr>
          <w:i/>
          <w:iCs/>
          <w:color w:val="6B6B66"/>
          <w:sz w:val="18"/>
          <w:szCs w:val="18"/>
        </w:rPr>
        <w:t xml:space="preserve">El waterfall excluye Ingresos Brutos (~3–5% s/ventas) e Impuesto a las Ganancias, que se aplican sobre la utilidad de cada parte según su jurisdicción.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7.  Batch mínimo y capital de trabajo</w:t>
      </w:r>
    </w:p>
    <w:p>
      <w:pPr>
        <w:spacing w:after="120" w:line="276"/>
      </w:pPr>
      <w:r>
        <w:t xml:space="preserve">Enfoque </w:t>
      </w:r>
      <w:r>
        <w:rPr>
          <w:b/>
          <w:bCs/>
        </w:rPr>
        <w:t xml:space="preserve">por fases</w:t>
      </w:r>
      <w:r>
        <w:t xml:space="preserve"> para minimizar el riesgo de inventario de PGN: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A5228"/>
          <w:sz w:val="23"/>
          <w:szCs w:val="23"/>
        </w:rPr>
        <w:t xml:space="preserve">Fase 1 — Lote piloto (≈ 90 días)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Solo SKU polvo (producto ancla): 1.500 unidades.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Capital de fabricación PGN estimado: </w:t>
      </w:r>
      <w:r>
        <w:rPr>
          <w:b/>
          <w:bCs/>
        </w:rPr>
        <w:t xml:space="preserve">≈ USD 12.000</w:t>
      </w:r>
      <w:r>
        <w:t xml:space="preserve"> (COGS piloto ~USD 8/u; el costo unitario baja con volumen).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Objetivo: validar sell-through con la audiencia de NO PAUSA antes de escalar. Menor capital comprometido, prueba real de demanda.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A5228"/>
          <w:sz w:val="23"/>
          <w:szCs w:val="23"/>
        </w:rPr>
        <w:t xml:space="preserve">Fase 2 — Escala (post-validación)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Reorden </w:t>
      </w:r>
      <w:r>
        <w:rPr>
          <w:b/>
          <w:bCs/>
        </w:rPr>
        <w:t xml:space="preserve">5.000 potes de polvo</w:t>
      </w:r>
      <w:r>
        <w:t xml:space="preserve"> + lanzamiento </w:t>
      </w:r>
      <w:r>
        <w:rPr>
          <w:b/>
          <w:bCs/>
        </w:rPr>
        <w:t xml:space="preserve">3.000 frascos de cápsulas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 este volumen el COGS baja (economías de escala) → los márgenes de la sección 6.2 aplican de lleno.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B6834" w:sz="24"/>
              <w:bottom w:val="none"/>
              <w:right w:val="none"/>
            </w:tcBorders>
            <w:shd w:fill="F3EF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  <w:i/>
                <w:iCs/>
                <w:color w:val="44443E"/>
              </w:rPr>
              <w:t xml:space="preserve">Sobre el capital de PGN: </w:t>
            </w:r>
            <w:r>
              <w:rPr>
                <w:i/>
                <w:iCs/>
                <w:color w:val="44443E"/>
              </w:rPr>
              <w:t xml:space="preserve">el capital de fabricación no queda inmovilizado — se recupera al vender cada lote (~2–4 meses) y rota varias veces al año. El retorno de PGN se calcula sobre working capital rotativo, no sobre capital muerto.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8.  Proyección año 1 (post-piloto)</w:t>
      </w:r>
    </w:p>
    <w:p>
      <w:pPr>
        <w:spacing w:after="120" w:line="276"/>
      </w:pPr>
      <w:r>
        <w:t xml:space="preserve">Tres escenarios, en unidades/año y utilidad para cada parte (USD):</w:t>
      </w:r>
    </w:p>
    <w:tbl>
      <w:tblPr>
        <w:tblW w:type="dxa" w:w="9360"/>
        <w:tblBorders>
          <w:top w:val="single" w:color="D9D0B6" w:sz="2"/>
          <w:left w:val="single" w:color="D9D0B6" w:sz="2"/>
          <w:bottom w:val="single" w:color="D9D0B6" w:sz="2"/>
          <w:right w:val="single" w:color="D9D0B6" w:sz="2"/>
          <w:insideH w:val="single" w:color="D9D0B6" w:sz="2"/>
          <w:insideV w:val="single" w:color="D9D0B6" w:sz="2"/>
        </w:tblBorders>
      </w:tblPr>
      <w:tblGrid>
        <w:gridCol w:w="1560"/>
        <w:gridCol w:w="1100"/>
        <w:gridCol w:w="1000"/>
        <w:gridCol w:w="1600"/>
        <w:gridCol w:w="1300"/>
        <w:gridCol w:w="1300"/>
        <w:gridCol w:w="1500"/>
      </w:tblGrid>
      <w:tr>
        <w:trPr>
          <w:tblHeader/>
        </w:trPr>
        <w:tc>
          <w:tcPr>
            <w:tcW w:type="dxa" w:w="156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11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Polvo</w:t>
            </w:r>
          </w:p>
        </w:tc>
        <w:tc>
          <w:tcPr>
            <w:tcW w:type="dxa" w:w="10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Cáps</w:t>
            </w:r>
          </w:p>
        </w:tc>
        <w:tc>
          <w:tcPr>
            <w:tcW w:type="dxa" w:w="16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 neta</w:t>
            </w:r>
          </w:p>
        </w:tc>
        <w:tc>
          <w:tcPr>
            <w:tcW w:type="dxa" w:w="13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PGN</w:t>
            </w:r>
          </w:p>
        </w:tc>
        <w:tc>
          <w:tcPr>
            <w:tcW w:type="dxa" w:w="13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Smart Foods</w:t>
            </w:r>
          </w:p>
        </w:tc>
        <w:tc>
          <w:tcPr>
            <w:tcW w:type="dxa" w:w="15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 PAUSA</w:t>
            </w:r>
          </w:p>
        </w:tc>
      </w:tr>
      <w:tr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Conservador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6.000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3.000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232.800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58.590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41.940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23.280</w:t>
            </w:r>
          </w:p>
        </w:tc>
      </w:tr>
      <w:tr>
        <w:tc>
          <w:tcPr>
            <w:tcW w:type="dxa" w:w="156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Base</w:t>
            </w:r>
          </w:p>
        </w:tc>
        <w:tc>
          <w:tcPr>
            <w:tcW w:type="dxa" w:w="110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12.000</w:t>
            </w:r>
          </w:p>
        </w:tc>
        <w:tc>
          <w:tcPr>
            <w:tcW w:type="dxa" w:w="100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8.000</w:t>
            </w:r>
          </w:p>
        </w:tc>
        <w:tc>
          <w:tcPr>
            <w:tcW w:type="dxa" w:w="160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515.200</w:t>
            </w:r>
          </w:p>
        </w:tc>
        <w:tc>
          <w:tcPr>
            <w:tcW w:type="dxa" w:w="130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129.960</w:t>
            </w:r>
          </w:p>
        </w:tc>
        <w:tc>
          <w:tcPr>
            <w:tcW w:type="dxa" w:w="130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93.360</w:t>
            </w:r>
          </w:p>
        </w:tc>
        <w:tc>
          <w:tcPr>
            <w:tcW w:type="dxa" w:w="1500"/>
            <w:shd w:fill="F3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51.520</w:t>
            </w:r>
          </w:p>
        </w:tc>
      </w:tr>
      <w:tr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7"/>
                <w:sz w:val="19"/>
                <w:szCs w:val="19"/>
              </w:rPr>
              <w:t xml:space="preserve">Optimista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24.000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16.000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1.030.400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259.920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186.720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103.040</w:t>
            </w:r>
          </w:p>
        </w:tc>
      </w:tr>
    </w:tbl>
    <w:p>
      <w:pPr>
        <w:spacing w:after="120" w:line="276"/>
      </w:pPr>
      <w:r>
        <w:rPr>
          <w:i/>
          <w:iCs/>
          <w:color w:val="6B6B66"/>
          <w:sz w:val="18"/>
          <w:szCs w:val="18"/>
        </w:rPr>
        <w:t xml:space="preserve">“PGN” incluye margen de fabricación + participación en utilidad. Cifras ilustrativas según los supuestos del modelo.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9.  Retorno para PGN (escenario base)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Ingreso total año 1: </w:t>
      </w:r>
      <w:r>
        <w:t xml:space="preserve">≈ USD 129.960 (fabricación + utilidad).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Capital de trabajo requerido: </w:t>
      </w:r>
      <w:r>
        <w:t xml:space="preserve">≈ USD 30.000–40.000 rotativo (financia los lotes en circulación, no el año entero).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El capital de fabricación rota ~3–4 veces/año, por lo que el retorno sobre capital efectivamente comprometido es de múltiplos altos, con un downside acotado al lote piloto de ~USD 12.000.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10.  Supuestos del modelo (a validar con PGN)</w:t>
      </w:r>
    </w:p>
    <w:tbl>
      <w:tblPr>
        <w:tblW w:type="dxa" w:w="9360"/>
        <w:tblBorders>
          <w:top w:val="single" w:color="D9D0B6" w:sz="2"/>
          <w:left w:val="single" w:color="D9D0B6" w:sz="2"/>
          <w:bottom w:val="single" w:color="D9D0B6" w:sz="2"/>
          <w:right w:val="single" w:color="D9D0B6" w:sz="2"/>
          <w:insideH w:val="single" w:color="D9D0B6" w:sz="2"/>
          <w:insideV w:val="single" w:color="D9D0B6" w:sz="2"/>
        </w:tblBorders>
      </w:tblPr>
      <w:tblGrid>
        <w:gridCol w:w="3360"/>
        <w:gridCol w:w="3600"/>
        <w:gridCol w:w="2400"/>
      </w:tblGrid>
      <w:tr>
        <w:trPr>
          <w:tblHeader/>
        </w:trPr>
        <w:tc>
          <w:tcPr>
            <w:tcW w:type="dxa" w:w="336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6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Supuesto</w:t>
            </w:r>
          </w:p>
        </w:tc>
        <w:tc>
          <w:tcPr>
            <w:tcW w:type="dxa" w:w="2400"/>
            <w:shd w:fill="4B68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confirma</w:t>
            </w:r>
          </w:p>
        </w:tc>
      </w:tr>
      <w:t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COGS polvo (a escala)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USD 6,5 / u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PGN (cotización)</w:t>
            </w:r>
          </w:p>
        </w:tc>
      </w:tr>
      <w:tr>
        <w:tc>
          <w:tcPr>
            <w:tcW w:type="dxa" w:w="3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COGS cápsulas (a escala)</w:t>
            </w:r>
          </w:p>
        </w:tc>
        <w:tc>
          <w:tcPr>
            <w:tcW w:type="dxa" w:w="36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USD 5,5 / u</w:t>
            </w:r>
          </w:p>
        </w:tc>
        <w:tc>
          <w:tcPr>
            <w:tcW w:type="dxa" w:w="24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PGN (cotización)</w:t>
            </w:r>
          </w:p>
        </w:tc>
      </w:tr>
      <w:t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Margen de fabricación PGN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30% sobre COGS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Negociación</w:t>
            </w:r>
          </w:p>
        </w:tc>
      </w:tr>
      <w:tr>
        <w:tc>
          <w:tcPr>
            <w:tcW w:type="dxa" w:w="3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MOQ por SKU</w:t>
            </w:r>
          </w:p>
        </w:tc>
        <w:tc>
          <w:tcPr>
            <w:tcW w:type="dxa" w:w="36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1.500 u piloto</w:t>
            </w:r>
          </w:p>
        </w:tc>
        <w:tc>
          <w:tcPr>
            <w:tcW w:type="dxa" w:w="24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PGN</w:t>
            </w:r>
          </w:p>
        </w:tc>
      </w:tr>
      <w:t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Lead time materia prima importada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maca Perú, ginseng/schisandra Asia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PGN</w:t>
            </w:r>
          </w:p>
        </w:tc>
      </w:tr>
      <w:tr>
        <w:tc>
          <w:tcPr>
            <w:tcW w:type="dxa" w:w="3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Tipo de cambio</w:t>
            </w:r>
          </w:p>
        </w:tc>
        <w:tc>
          <w:tcPr>
            <w:tcW w:type="dxa" w:w="36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ARS 1.300 / USD</w:t>
            </w:r>
          </w:p>
        </w:tc>
        <w:tc>
          <w:tcPr>
            <w:tcW w:type="dxa" w:w="24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Mercado</w:t>
            </w:r>
          </w:p>
        </w:tc>
      </w:tr>
      <w:t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PVP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ARS 41.900 / 38.900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Test de mercado</w:t>
            </w:r>
          </w:p>
        </w:tc>
      </w:tr>
      <w:tr>
        <w:tc>
          <w:tcPr>
            <w:tcW w:type="dxa" w:w="336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Royalty NO PAUSA</w:t>
            </w:r>
          </w:p>
        </w:tc>
        <w:tc>
          <w:tcPr>
            <w:tcW w:type="dxa" w:w="36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10% venta neta</w:t>
            </w:r>
          </w:p>
        </w:tc>
        <w:tc>
          <w:tcPr>
            <w:tcW w:type="dxa" w:w="2400"/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Negociación con NO PAUSA</w:t>
            </w:r>
          </w:p>
        </w:tc>
      </w:tr>
      <w:t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Split utilidad PGN / SF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50 / 50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B2B27"/>
                <w:sz w:val="19"/>
                <w:szCs w:val="19"/>
              </w:rPr>
              <w:t xml:space="preserve">Negociación (según aporte de capital)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4B6834"/>
          <w:sz w:val="27"/>
          <w:szCs w:val="27"/>
        </w:rPr>
        <w:t xml:space="preserve">11.  Próximos pasos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b/>
          <w:bCs/>
        </w:rPr>
        <w:t xml:space="preserve">PGN cotiza</w:t>
      </w:r>
      <w:r>
        <w:t xml:space="preserve"> COGS real de ambos SKUs a 1.500, 5.000 y 10.000 unidades, y confirma MOQ + lead times.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b/>
          <w:bCs/>
        </w:rPr>
        <w:t xml:space="preserve">Cerrar términos</w:t>
      </w:r>
      <w:r>
        <w:t xml:space="preserve"> del split (royalty NO PAUSA + reparto PGN/SF) por escrito.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b/>
          <w:bCs/>
        </w:rPr>
        <w:t xml:space="preserve">Definir el vehículo comercial</w:t>
      </w:r>
      <w:r>
        <w:t xml:space="preserve"> de la línea (entidad limpia, separada de la situación societaria de Smart Foods).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b/>
          <w:bCs/>
        </w:rPr>
        <w:t xml:space="preserve">Aprobar el lote piloto</w:t>
      </w:r>
      <w:r>
        <w:t xml:space="preserve"> de polvo y arrancar trámite RNPA en paralelo.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b/>
          <w:bCs/>
        </w:rPr>
        <w:t xml:space="preserve">Confirmar la lista de claims</w:t>
      </w:r>
      <w:r>
        <w:t xml:space="preserve"> ANMAT-safe con NO PAUSA antes de imprimir packaging.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0B6" w:sz="4" w:space="6"/>
      </w:pBdr>
      <w:jc w:val="center"/>
    </w:pPr>
    <w:r>
      <w:rPr>
        <w:color w:val="6B6B66"/>
        <w:sz w:val="16"/>
        <w:szCs w:val="16"/>
      </w:rPr>
      <w:t xml:space="preserve">CONFIDENCIAL   ·   Smart Foods × NO PAUSA × PGN   ·   Página </w:t>
    </w:r>
    <w:r>
      <w:rPr>
        <w:color w:val="6B6B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6"/>
        <w:sz w:val="16"/>
        <w:szCs w:val="16"/>
      </w:rPr>
      <w:t xml:space="preserve"> de </w:t>
    </w:r>
    <w:r>
      <w:rPr>
        <w:color w:val="6B6B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4B683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  <w:rPr>
        <w:b/>
        <w:bCs/>
        <w:color w:val="4B683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  <w:rPr>
        <w:b/>
        <w:bCs/>
        <w:color w:val="4B683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Negocio — Línea +40</dc:title>
  <dc:creator>Smart Foods</dc:creator>
  <dc:description>Propuesta Smart Foods × NO PAUSA × PGN</dc:description>
  <cp:lastModifiedBy>Un-named</cp:lastModifiedBy>
  <cp:revision>1</cp:revision>
  <dcterms:created xsi:type="dcterms:W3CDTF">2026-07-15T15:13:13.612Z</dcterms:created>
  <dcterms:modified xsi:type="dcterms:W3CDTF">2026-07-15T15:13:13.613Z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