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Arial" w:cs="Arial" w:eastAsia="Arial" w:hAnsi="Arial"/>
          <w:b/>
          <w:bCs/>
          <w:color w:val="282823"/>
          <w:sz w:val="52"/>
          <w:szCs w:val="52"/>
        </w:rPr>
        <w:t xml:space="preserve">SMART FOODS</w:t>
      </w:r>
    </w:p>
    <w:p>
      <w:pPr>
        <w:spacing w:after="300" w:before="0"/>
        <w:jc w:val="center"/>
      </w:pPr>
      <w:r>
        <w:rPr>
          <w:rFonts w:ascii="Arial" w:cs="Arial" w:eastAsia="Arial" w:hAnsi="Arial"/>
          <w:b/>
          <w:bCs/>
          <w:color w:val="4B6834"/>
          <w:sz w:val="30"/>
          <w:szCs w:val="30"/>
        </w:rPr>
        <w:t xml:space="preserve">Memo de Inversión — Nueva Etapa</w:t>
      </w:r>
    </w:p>
    <w:p>
      <w:pPr>
        <w:spacing w:after="500" w:before="0"/>
        <w:jc w:val="center"/>
      </w:pPr>
      <w:r>
        <w:rPr>
          <w:rFonts w:ascii="Arial" w:cs="Arial" w:eastAsia="Arial" w:hAnsi="Arial"/>
          <w:color w:val="282823"/>
          <w:sz w:val="22"/>
          <w:szCs w:val="22"/>
        </w:rPr>
        <w:t xml:space="preserve">Relanzamiento de la primera marca argentina de alimentos funcionales con hongos adaptógenos certificada ANMAT</w:t>
      </w:r>
    </w:p>
    <w:p>
      <w:pPr>
        <w:spacing w:after="100" w:before="0"/>
        <w:jc w:val="center"/>
      </w:pPr>
      <w:r>
        <w:rPr>
          <w:rFonts w:ascii="Arial" w:cs="Arial" w:eastAsia="Arial" w:hAnsi="Arial"/>
          <w:color w:val="666666"/>
          <w:sz w:val="20"/>
          <w:szCs w:val="20"/>
        </w:rPr>
        <w:t xml:space="preserve">Julio 2026 · Borrador para discusión · Confidencial</w:t>
      </w:r>
    </w:p>
    <w:p>
      <w:pPr>
        <w:spacing w:after="600" w:before="0"/>
        <w:jc w:val="center"/>
      </w:pPr>
      <w:r>
        <w:rPr>
          <w:rFonts w:ascii="Arial" w:cs="Arial" w:eastAsia="Arial" w:hAnsi="Arial"/>
          <w:color w:val="666666"/>
          <w:sz w:val="20"/>
          <w:szCs w:val="20"/>
        </w:rPr>
        <w:t xml:space="preserve">Preparado por Andrés — Fundador</w:t>
      </w:r>
    </w:p>
    <w:p>
      <w:pPr>
        <w:spacing w:after="200" w:before="0"/>
      </w:pPr>
      <w:r>
        <w:rPr>
          <w:rFonts w:ascii="Arial" w:cs="Arial" w:eastAsia="Arial" w:hAnsi="Arial"/>
          <w:i/>
          <w:iCs/>
          <w:color w:val="666666"/>
          <w:sz w:val="18"/>
          <w:szCs w:val="18"/>
        </w:rPr>
        <w:t xml:space="preserve">Este documento es un borrador de trabajo para conversaciones preliminares con potenciales socios. Los números marcados como supuestos se reemplazan por cotizaciones y acuerdos definitivos antes de cualquier term sheet. Distribución restringida a los destinatarios.</w:t>
      </w:r>
    </w:p>
    <w:p>
      <w:r>
        <w:br w:type="page"/>
      </w:r>
    </w:p>
    <w:p>
      <w:pPr>
        <w:pStyle w:val="Heading1"/>
        <w:spacing w:after="200" w:before="360"/>
      </w:pPr>
      <w:r>
        <w:rPr>
          <w:rFonts w:ascii="Arial" w:cs="Arial" w:eastAsia="Arial" w:hAnsi="Arial"/>
          <w:b/>
          <w:bCs/>
          <w:color w:val="4B6834"/>
          <w:sz w:val="27"/>
          <w:szCs w:val="27"/>
        </w:rPr>
        <w:t xml:space="preserve">1. Resumen ejecutivo</w:t>
      </w:r>
    </w:p>
    <w:p>
      <w:pPr>
        <w:spacing w:after="160"/>
      </w:pPr>
      <w:r>
        <w:rPr>
          <w:rFonts w:ascii="Arial" w:cs="Arial" w:eastAsia="Arial" w:hAnsi="Arial"/>
          <w:b/>
          <w:bCs/>
          <w:color w:val="282823"/>
          <w:sz w:val="21"/>
          <w:szCs w:val="21"/>
        </w:rPr>
        <w:t xml:space="preserve">La tesis: </w:t>
      </w:r>
      <w:r>
        <w:rPr>
          <w:rFonts w:ascii="Arial" w:cs="Arial" w:eastAsia="Arial" w:hAnsi="Arial"/>
          <w:color w:val="282823"/>
          <w:sz w:val="21"/>
          <w:szCs w:val="21"/>
        </w:rPr>
        <w:t xml:space="preserve">Smart Foods es una marca que ya demostró lo más difícil de demostrar en consumo masivo — recurrencia real de compra — vendiendo de forma 99% orgánica, sin inversión publicitaria sostenida y sin canal físico. Lo que limitó la primera etapa no fue la demanda: fue la estructura. Esta ronda no financia una apuesta de producto; completa las cuatro piezas que faltaron: fabricación a escala (PGN), canal farmacia/dietética (Dispropharma), capital de trabajo y gobernanza financiera profesional.</w:t>
      </w:r>
    </w:p>
    <w:p>
      <w:pPr>
        <w:spacing w:after="120" w:before="0"/>
      </w:pPr>
      <w:r>
        <w:rPr>
          <w:rFonts w:ascii="Arial" w:cs="Arial" w:eastAsia="Arial" w:hAnsi="Arial"/>
          <w:color w:val="282823"/>
          <w:sz w:val="21"/>
          <w:szCs w:val="21"/>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700"/>
      </w:tblGrid>
      <w:tr>
        <w:trPr>
          <w:tblHeader/>
        </w:trPr>
        <w:tc>
          <w:tcPr>
            <w:tcW w:type="dxa" w:w="26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left"/>
            </w:pPr>
            <w:r>
              <w:rPr>
                <w:rFonts w:ascii="Arial" w:cs="Arial" w:eastAsia="Arial" w:hAnsi="Arial"/>
                <w:b/>
                <w:bCs/>
                <w:color w:val="282823"/>
                <w:sz w:val="19"/>
                <w:szCs w:val="19"/>
              </w:rPr>
              <w:t xml:space="preserve">La ronda</w:t>
            </w:r>
          </w:p>
        </w:tc>
        <w:tc>
          <w:tcPr>
            <w:tcW w:type="dxa" w:w="21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center"/>
            </w:pPr>
            <w:r>
              <w:rPr>
                <w:rFonts w:ascii="Arial" w:cs="Arial" w:eastAsia="Arial" w:hAnsi="Arial"/>
                <w:b/>
                <w:bCs/>
                <w:color w:val="282823"/>
                <w:sz w:val="19"/>
                <w:szCs w:val="19"/>
              </w:rPr>
              <w:t xml:space="preserve">Monto (USD)</w:t>
            </w:r>
          </w:p>
        </w:tc>
        <w:tc>
          <w:tcPr>
            <w:tcW w:type="dxa" w:w="47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center"/>
            </w:pPr>
            <w:r>
              <w:rPr>
                <w:rFonts w:ascii="Arial" w:cs="Arial" w:eastAsia="Arial" w:hAnsi="Arial"/>
                <w:b/>
                <w:bCs/>
                <w:color w:val="282823"/>
                <w:sz w:val="19"/>
                <w:szCs w:val="19"/>
              </w:rPr>
              <w:t xml:space="preserve">Naturaleza</w:t>
            </w:r>
          </w:p>
        </w:tc>
      </w:tr>
      <w:tr>
        <w:tc>
          <w:tcPr>
            <w:tcW w:type="dxa" w:w="2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PGN (socio industrial)</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67.000</w:t>
            </w:r>
          </w:p>
        </w:tc>
        <w:tc>
          <w:tcPr>
            <w:tcW w:type="dxa" w:w="47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Producción in-kind a costo: primera producción + reposiciones hasta completar el aporte</w:t>
            </w:r>
          </w:p>
        </w:tc>
      </w:tr>
      <w:tr>
        <w:tc>
          <w:tcPr>
            <w:tcW w:type="dxa" w:w="2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Dispropharma</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60.000</w:t>
            </w:r>
          </w:p>
        </w:tc>
        <w:tc>
          <w:tcPr>
            <w:tcW w:type="dxa" w:w="47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Capital (equity) + contrato comercial de distribución con objetivos</w:t>
            </w:r>
          </w:p>
        </w:tc>
      </w:tr>
      <w:tr>
        <w:tc>
          <w:tcPr>
            <w:tcW w:type="dxa" w:w="2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Inversor capital (Julieta Virardi)</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57.000</w:t>
            </w:r>
          </w:p>
        </w:tc>
        <w:tc>
          <w:tcPr>
            <w:tcW w:type="dxa" w:w="47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Capital (equity), mismos términos por acción que el resto del cash</w:t>
            </w:r>
          </w:p>
        </w:tc>
      </w:tr>
      <w:tr>
        <w:tc>
          <w:tcPr>
            <w:tcW w:type="dxa" w:w="2600"/>
            <w:tcBorders>
              <w:top w:val="single" w:color="DDDDDD" w:sz="4"/>
              <w:left w:val="single" w:color="DDDDDD" w:sz="4"/>
              <w:bottom w:val="single" w:color="DDDDDD" w:sz="4"/>
              <w:right w:val="single" w:color="DDDDDD" w:sz="4"/>
            </w:tcBorders>
            <w:shd w:fill="EFF3EA" w:val="clear"/>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TOTAL</w:t>
            </w:r>
          </w:p>
        </w:tc>
        <w:tc>
          <w:tcPr>
            <w:tcW w:type="dxa" w:w="2100"/>
            <w:tcBorders>
              <w:top w:val="single" w:color="DDDDDD" w:sz="4"/>
              <w:left w:val="single" w:color="DDDDDD" w:sz="4"/>
              <w:bottom w:val="single" w:color="DDDDDD" w:sz="4"/>
              <w:right w:val="single" w:color="DDDDDD" w:sz="4"/>
            </w:tcBorders>
            <w:shd w:fill="EFF3EA" w:val="clear"/>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184.000</w:t>
            </w:r>
          </w:p>
        </w:tc>
        <w:tc>
          <w:tcPr>
            <w:tcW w:type="dxa" w:w="4700"/>
            <w:tcBorders>
              <w:top w:val="single" w:color="DDDDDD" w:sz="4"/>
              <w:left w:val="single" w:color="DDDDDD" w:sz="4"/>
              <w:bottom w:val="single" w:color="DDDDDD" w:sz="4"/>
              <w:right w:val="single" w:color="DDDDDD" w:sz="4"/>
            </w:tcBorders>
            <w:shd w:fill="EFF3EA" w:val="clear"/>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Por ~45% del equity de una sociedad nueva (NewCo) — propuesta de apertura</w:t>
            </w:r>
          </w:p>
        </w:tc>
      </w:tr>
    </w:tbl>
    <w:p>
      <w:pPr>
        <w:spacing w:after="120" w:before="0"/>
      </w:pPr>
      <w:r>
        <w:rPr>
          <w:rFonts w:ascii="Arial" w:cs="Arial" w:eastAsia="Arial" w:hAnsi="Arial"/>
          <w:color w:val="282823"/>
          <w:sz w:val="21"/>
          <w:szCs w:val="21"/>
        </w:rPr>
        <w:t xml:space="preserve"/>
      </w:r>
    </w:p>
    <w:p>
      <w:pPr>
        <w:spacing w:after="160"/>
      </w:pPr>
      <w:r>
        <w:rPr>
          <w:rFonts w:ascii="Arial" w:cs="Arial" w:eastAsia="Arial" w:hAnsi="Arial"/>
          <w:b/>
          <w:bCs/>
          <w:color w:val="282823"/>
          <w:sz w:val="21"/>
          <w:szCs w:val="21"/>
        </w:rPr>
        <w:t xml:space="preserve">Qué muestra el modelo (escenario base, detalle en sección 8): </w:t>
      </w:r>
      <w:r>
        <w:rPr>
          <w:rFonts w:ascii="Arial" w:cs="Arial" w:eastAsia="Arial" w:hAnsi="Arial"/>
          <w:color w:val="282823"/>
          <w:sz w:val="21"/>
          <w:szCs w:val="21"/>
        </w:rPr>
        <w:t xml:space="preserve">breakeven operativo en el mes 3, capital cash recuperado por el flujo operativo en el mes 5, ventas año 1 de ~USD 291.000 con EBITDA positivo, y un valor de empresa proyectado a año 5 de ~USD 2,0M — un retorno de ~5x para los socios. En el escenario piso (demanda 30% por debajo del caso base en todos los motores), los socios igual obtienen ~3,5x y el capital se recupera en el mes 8.</w:t>
      </w:r>
    </w:p>
    <w:p>
      <w:pPr>
        <w:spacing w:after="160"/>
      </w:pPr>
      <w:r>
        <w:rPr>
          <w:rFonts w:ascii="Arial" w:cs="Arial" w:eastAsia="Arial" w:hAnsi="Arial"/>
          <w:color w:val="282823"/>
          <w:sz w:val="21"/>
          <w:szCs w:val="21"/>
        </w:rPr>
        <w:t xml:space="preserve">El desembolso de capital se estructura en dos tramos con objetivos verificables entre medio. Con solo el primer tramo desembolsado, la caja del proyecto nunca es negativa en ninguno de los tres escenarios. El riesgo se valida por etapas, no se asume de una sola vez.</w:t>
      </w:r>
    </w:p>
    <w:p>
      <w:pPr>
        <w:pStyle w:val="Heading1"/>
        <w:spacing w:after="200" w:before="360"/>
      </w:pPr>
      <w:r>
        <w:rPr>
          <w:rFonts w:ascii="Arial" w:cs="Arial" w:eastAsia="Arial" w:hAnsi="Arial"/>
          <w:b/>
          <w:bCs/>
          <w:color w:val="4B6834"/>
          <w:sz w:val="27"/>
          <w:szCs w:val="27"/>
        </w:rPr>
        <w:t xml:space="preserve">2. La marca: recurrencia probada, misión real</w:t>
      </w:r>
    </w:p>
    <w:p>
      <w:pPr>
        <w:spacing w:after="160" w:before="0"/>
      </w:pPr>
      <w:r>
        <w:rPr>
          <w:rFonts w:ascii="Arial" w:cs="Arial" w:eastAsia="Arial" w:hAnsi="Arial"/>
          <w:color w:val="282823"/>
          <w:sz w:val="21"/>
          <w:szCs w:val="21"/>
        </w:rPr>
        <w:t xml:space="preserve">Smart Foods nace del camino personal de salud de su fundador y de una convicción: la lucha contra las enfermedades no transmisibles empieza por lo que comemos todos los días. Fue la primera marca argentina de alimentos funcionales con hongos adaptógenos en obtener certificación ANMAT, con una comunidad construida alrededor de contenido educativo y un fundador visible cuya audiencia incluye médicos y profesionales del universo longevity. La empresa adhiere a 1% for the Planet y está en proceso de certificación B Corp.</w:t>
      </w:r>
    </w:p>
    <w:p>
      <w:pPr>
        <w:pStyle w:val="Heading2"/>
        <w:spacing w:after="140" w:before="240"/>
      </w:pPr>
      <w:r>
        <w:rPr>
          <w:rFonts w:ascii="Arial" w:cs="Arial" w:eastAsia="Arial" w:hAnsi="Arial"/>
          <w:b/>
          <w:bCs/>
          <w:color w:val="282823"/>
          <w:sz w:val="22"/>
          <w:szCs w:val="22"/>
        </w:rPr>
        <w:t xml:space="preserve">El activo construido</w:t>
      </w:r>
    </w:p>
    <w:p>
      <w:pPr>
        <w:pStyle w:val="ListParagraph"/>
        <w:numPr>
          <w:ilvl w:val="0"/>
          <w:numId w:val="2"/>
        </w:numPr>
        <w:spacing w:after="100"/>
      </w:pPr>
      <w:r>
        <w:rPr>
          <w:rFonts w:ascii="Arial" w:cs="Arial" w:eastAsia="Arial" w:hAnsi="Arial"/>
          <w:b w:val="false"/>
          <w:bCs w:val="false"/>
          <w:color w:val="282823"/>
          <w:sz w:val="21"/>
          <w:szCs w:val="21"/>
        </w:rPr>
        <w:t xml:space="preserve">9 marcas registradas: SMART FOODS, BRAIN BOOST, SMART FOCUS, SMART CALM, SMART RELAX, SMART DEFENSE, SMART GLOW, SMART MAITAKE y MEDITAREINA.</w:t>
      </w:r>
    </w:p>
    <w:p>
      <w:pPr>
        <w:pStyle w:val="ListParagraph"/>
        <w:numPr>
          <w:ilvl w:val="0"/>
          <w:numId w:val="2"/>
        </w:numPr>
        <w:spacing w:after="100"/>
      </w:pPr>
      <w:r>
        <w:rPr>
          <w:rFonts w:ascii="Arial" w:cs="Arial" w:eastAsia="Arial" w:hAnsi="Arial"/>
          <w:b w:val="false"/>
          <w:bCs w:val="false"/>
          <w:color w:val="282823"/>
          <w:sz w:val="21"/>
          <w:szCs w:val="21"/>
        </w:rPr>
        <w:t xml:space="preserve">Registros y experiencia regulatoria ANMAT/INAL en la categoría (productos sin TACC, veganos, con estándares de doble extracción y beta-glucanos verificados).</w:t>
      </w:r>
    </w:p>
    <w:p>
      <w:pPr>
        <w:pStyle w:val="ListParagraph"/>
        <w:numPr>
          <w:ilvl w:val="0"/>
          <w:numId w:val="2"/>
        </w:numPr>
        <w:spacing w:after="100"/>
      </w:pPr>
      <w:r>
        <w:rPr>
          <w:rFonts w:ascii="Arial" w:cs="Arial" w:eastAsia="Arial" w:hAnsi="Arial"/>
          <w:b w:val="false"/>
          <w:bCs w:val="false"/>
          <w:color w:val="282823"/>
          <w:sz w:val="21"/>
          <w:szCs w:val="21"/>
        </w:rPr>
        <w:t xml:space="preserve">Canal D2C operativo: tienda propia, MercadoLibre y venta por WhatsApp, con infraestructura tecnológica propia de operación, CRM y contenido.</w:t>
      </w:r>
    </w:p>
    <w:p>
      <w:pPr>
        <w:pStyle w:val="ListParagraph"/>
        <w:numPr>
          <w:ilvl w:val="0"/>
          <w:numId w:val="2"/>
        </w:numPr>
        <w:spacing w:after="100"/>
      </w:pPr>
      <w:r>
        <w:rPr>
          <w:rFonts w:ascii="Arial" w:cs="Arial" w:eastAsia="Arial" w:hAnsi="Arial"/>
          <w:b w:val="false"/>
          <w:bCs w:val="false"/>
          <w:color w:val="282823"/>
          <w:sz w:val="21"/>
          <w:szCs w:val="21"/>
        </w:rPr>
        <w:t xml:space="preserve">Comunidad y activos de contenido: marca fundador-led con años de contenido educativo publicado.</w:t>
      </w:r>
    </w:p>
    <w:p>
      <w:pPr>
        <w:pStyle w:val="Heading2"/>
        <w:spacing w:after="140" w:before="240"/>
      </w:pPr>
      <w:r>
        <w:rPr>
          <w:rFonts w:ascii="Arial" w:cs="Arial" w:eastAsia="Arial" w:hAnsi="Arial"/>
          <w:b/>
          <w:bCs/>
          <w:color w:val="282823"/>
          <w:sz w:val="22"/>
          <w:szCs w:val="22"/>
        </w:rPr>
        <w:t xml:space="preserve">Los datos que sostienen la tesis (histórico verificable 2021–2026, 7.894 pedidos)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2200"/>
        <w:gridCol w:w="2500"/>
      </w:tblGrid>
      <w:tr>
        <w:trPr>
          <w:tblHeader/>
        </w:trPr>
        <w:tc>
          <w:tcPr>
            <w:tcW w:type="dxa" w:w="47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left"/>
            </w:pPr>
            <w:r>
              <w:rPr>
                <w:rFonts w:ascii="Arial" w:cs="Arial" w:eastAsia="Arial" w:hAnsi="Arial"/>
                <w:b/>
                <w:bCs/>
                <w:color w:val="282823"/>
                <w:sz w:val="19"/>
                <w:szCs w:val="19"/>
              </w:rPr>
              <w:t xml:space="preserve">Métrica</w:t>
            </w:r>
          </w:p>
        </w:tc>
        <w:tc>
          <w:tcPr>
            <w:tcW w:type="dxa" w:w="22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center"/>
            </w:pPr>
            <w:r>
              <w:rPr>
                <w:rFonts w:ascii="Arial" w:cs="Arial" w:eastAsia="Arial" w:hAnsi="Arial"/>
                <w:b/>
                <w:bCs/>
                <w:color w:val="282823"/>
                <w:sz w:val="19"/>
                <w:szCs w:val="19"/>
              </w:rPr>
              <w:t xml:space="preserve">Valor</w:t>
            </w:r>
          </w:p>
        </w:tc>
        <w:tc>
          <w:tcPr>
            <w:tcW w:type="dxa" w:w="25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center"/>
            </w:pPr>
            <w:r>
              <w:rPr>
                <w:rFonts w:ascii="Arial" w:cs="Arial" w:eastAsia="Arial" w:hAnsi="Arial"/>
                <w:b/>
                <w:bCs/>
                <w:color w:val="282823"/>
                <w:sz w:val="19"/>
                <w:szCs w:val="19"/>
              </w:rPr>
              <w:t xml:space="preserve">Lectura</w:t>
            </w:r>
          </w:p>
        </w:tc>
      </w:tr>
      <w:tr>
        <w:tc>
          <w:tcPr>
            <w:tcW w:type="dxa" w:w="47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Ticket promedio (AOV) 2026</w:t>
            </w:r>
          </w:p>
        </w:tc>
        <w:tc>
          <w:tcPr>
            <w:tcW w:type="dxa" w:w="22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$107.788 (~USD 72)</w:t>
            </w:r>
          </w:p>
        </w:tc>
        <w:tc>
          <w:tcPr>
            <w:tcW w:type="dxa" w:w="2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~2,4 unidades por orden</w:t>
            </w:r>
          </w:p>
        </w:tc>
      </w:tr>
      <w:tr>
        <w:tc>
          <w:tcPr>
            <w:tcW w:type="dxa" w:w="47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Clientes que recompran (2+ compras)</w:t>
            </w:r>
          </w:p>
        </w:tc>
        <w:tc>
          <w:tcPr>
            <w:tcW w:type="dxa" w:w="22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29%</w:t>
            </w:r>
          </w:p>
        </w:tc>
        <w:tc>
          <w:tcPr>
            <w:tcW w:type="dxa" w:w="2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Benchmark saludable: &gt;25%</w:t>
            </w:r>
          </w:p>
        </w:tc>
      </w:tr>
      <w:tr>
        <w:tc>
          <w:tcPr>
            <w:tcW w:type="dxa" w:w="47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Compras promedio por cliente recurrente</w:t>
            </w:r>
          </w:p>
        </w:tc>
        <w:tc>
          <w:tcPr>
            <w:tcW w:type="dxa" w:w="22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4 compras</w:t>
            </w:r>
          </w:p>
        </w:tc>
        <w:tc>
          <w:tcPr>
            <w:tcW w:type="dxa" w:w="2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Vida de cliente ~14 meses</w:t>
            </w:r>
          </w:p>
        </w:tc>
      </w:tr>
      <w:tr>
        <w:tc>
          <w:tcPr>
            <w:tcW w:type="dxa" w:w="47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Días promedio entre compras</w:t>
            </w:r>
          </w:p>
        </w:tc>
        <w:tc>
          <w:tcPr>
            <w:tcW w:type="dxa" w:w="22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107 días</w:t>
            </w:r>
          </w:p>
        </w:tc>
        <w:tc>
          <w:tcPr>
            <w:tcW w:type="dxa" w:w="2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Ciclo de reposición real</w:t>
            </w:r>
          </w:p>
        </w:tc>
      </w:tr>
      <w:tr>
        <w:tc>
          <w:tcPr>
            <w:tcW w:type="dxa" w:w="47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Volumen total que es recompra</w:t>
            </w:r>
          </w:p>
        </w:tc>
        <w:tc>
          <w:tcPr>
            <w:tcW w:type="dxa" w:w="22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47%</w:t>
            </w:r>
          </w:p>
        </w:tc>
        <w:tc>
          <w:tcPr>
            <w:tcW w:type="dxa" w:w="2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La mitad del negocio se repite solo</w:t>
            </w:r>
          </w:p>
        </w:tc>
      </w:tr>
      <w:tr>
        <w:tc>
          <w:tcPr>
            <w:tcW w:type="dxa" w:w="47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Órdenes atribuibles a publicidad paga</w:t>
            </w:r>
          </w:p>
        </w:tc>
        <w:tc>
          <w:tcPr>
            <w:tcW w:type="dxa" w:w="22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~1%</w:t>
            </w:r>
          </w:p>
        </w:tc>
        <w:tc>
          <w:tcPr>
            <w:tcW w:type="dxa" w:w="2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La marca vendió 99% orgánico</w:t>
            </w:r>
          </w:p>
        </w:tc>
      </w:tr>
      <w:tr>
        <w:tc>
          <w:tcPr>
            <w:tcW w:type="dxa" w:w="47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Ventas actuales (2026, sin inversión)</w:t>
            </w:r>
          </w:p>
        </w:tc>
        <w:tc>
          <w:tcPr>
            <w:tcW w:type="dxa" w:w="22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~53 órdenes/mes</w:t>
            </w:r>
          </w:p>
        </w:tc>
        <w:tc>
          <w:tcPr>
            <w:tcW w:type="dxa" w:w="2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La base sigue viva aún en pausa comercial</w:t>
            </w:r>
          </w:p>
        </w:tc>
      </w:tr>
    </w:tbl>
    <w:p>
      <w:pPr>
        <w:spacing w:after="120" w:before="0"/>
      </w:pPr>
      <w:r>
        <w:rPr>
          <w:rFonts w:ascii="Arial" w:cs="Arial" w:eastAsia="Arial" w:hAnsi="Arial"/>
          <w:color w:val="282823"/>
          <w:sz w:val="21"/>
          <w:szCs w:val="21"/>
        </w:rPr>
        <w:t xml:space="preserve"/>
      </w:r>
    </w:p>
    <w:p>
      <w:pPr>
        <w:spacing w:after="160"/>
      </w:pPr>
      <w:r>
        <w:rPr>
          <w:rFonts w:ascii="Arial" w:cs="Arial" w:eastAsia="Arial" w:hAnsi="Arial"/>
          <w:b/>
          <w:bCs/>
          <w:color w:val="282823"/>
          <w:sz w:val="21"/>
          <w:szCs w:val="21"/>
        </w:rPr>
        <w:t xml:space="preserve">La conclusión de estos datos es el corazón de este memo: </w:t>
      </w:r>
      <w:r>
        <w:rPr>
          <w:rFonts w:ascii="Arial" w:cs="Arial" w:eastAsia="Arial" w:hAnsi="Arial"/>
          <w:color w:val="282823"/>
          <w:sz w:val="21"/>
          <w:szCs w:val="21"/>
        </w:rPr>
        <w:t xml:space="preserve">el producto genera compra repetida sin empuje publicitario. Una marca de suplementos que no repite compra es una máquina de comprar clientes una sola vez; Smart Foods demostró lo contrario con datos de cinco años. Ese comportamiento — recurrencia orgánica — es el activo más caro de construir en consumo y el que esta ronda escala.</w:t>
      </w:r>
    </w:p>
    <w:p>
      <w:pPr>
        <w:pStyle w:val="Heading1"/>
        <w:spacing w:after="200" w:before="360"/>
      </w:pPr>
      <w:r>
        <w:rPr>
          <w:rFonts w:ascii="Arial" w:cs="Arial" w:eastAsia="Arial" w:hAnsi="Arial"/>
          <w:b/>
          <w:bCs/>
          <w:color w:val="4B6834"/>
          <w:sz w:val="27"/>
          <w:szCs w:val="27"/>
        </w:rPr>
        <w:t xml:space="preserve">3. Por qué la primera etapa quedó corta — y qué cambia ahora</w:t>
      </w:r>
    </w:p>
    <w:p>
      <w:pPr>
        <w:spacing w:after="160" w:before="0"/>
      </w:pPr>
      <w:r>
        <w:rPr>
          <w:rFonts w:ascii="Arial" w:cs="Arial" w:eastAsia="Arial" w:hAnsi="Arial"/>
          <w:color w:val="282823"/>
          <w:sz w:val="21"/>
          <w:szCs w:val="21"/>
        </w:rPr>
        <w:t xml:space="preserve">La transparencia es una decisión de diseño de esta nueva etapa. La primera etapa de Smart Foods entró en pausa comercial en 2026. Las causas fueron estructurales, no de mercado: capital de trabajo insuficiente para sostener inventario y pauta, fabricación tercerizada fragmentada con costos altos y mínimos difíciles, ausencia de canal físico a escala, y una gobernanza administrativa que no acompañó el crecimiento. Ninguna de esas causas es un problema de producto ni de demanda — los datos de la sección anterior lo muestran.</w:t>
      </w:r>
    </w:p>
    <w:p>
      <w:pPr>
        <w:spacing w:after="160" w:before="0"/>
      </w:pPr>
      <w:r>
        <w:rPr>
          <w:rFonts w:ascii="Arial" w:cs="Arial" w:eastAsia="Arial" w:hAnsi="Arial"/>
          <w:color w:val="282823"/>
          <w:sz w:val="21"/>
          <w:szCs w:val="21"/>
        </w:rPr>
        <w:t xml:space="preserve">La nueva etapa se diseña para que cada pieza faltante tenga un dueño especialista: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left"/>
            </w:pPr>
            <w:r>
              <w:rPr>
                <w:rFonts w:ascii="Arial" w:cs="Arial" w:eastAsia="Arial" w:hAnsi="Arial"/>
                <w:b/>
                <w:bCs/>
                <w:color w:val="282823"/>
                <w:sz w:val="19"/>
                <w:szCs w:val="19"/>
              </w:rPr>
              <w:t xml:space="preserve">La pieza que faltó</w:t>
            </w:r>
          </w:p>
        </w:tc>
        <w:tc>
          <w:tcPr>
            <w:tcW w:type="dxa" w:w="52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center"/>
            </w:pPr>
            <w:r>
              <w:rPr>
                <w:rFonts w:ascii="Arial" w:cs="Arial" w:eastAsia="Arial" w:hAnsi="Arial"/>
                <w:b/>
                <w:bCs/>
                <w:color w:val="282823"/>
                <w:sz w:val="19"/>
                <w:szCs w:val="19"/>
              </w:rPr>
              <w:t xml:space="preserve">Quién la aporta en la nueva etapa</w:t>
            </w:r>
          </w:p>
        </w:tc>
      </w:tr>
      <w:tr>
        <w:tc>
          <w:tcPr>
            <w:tcW w:type="dxa" w:w="42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Fabricación a escala, costo competitivo y músculo regulatorio</w:t>
            </w:r>
          </w:p>
        </w:tc>
        <w:tc>
          <w:tcPr>
            <w:tcW w:type="dxa" w:w="52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PGN — laboratorio de suplementos con +30 años, fábrica propia y experiencia ANMAT</w:t>
            </w:r>
          </w:p>
        </w:tc>
      </w:tr>
      <w:tr>
        <w:tc>
          <w:tcPr>
            <w:tcW w:type="dxa" w:w="42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Canal farmacia y dietética a escala nacional</w:t>
            </w:r>
          </w:p>
        </w:tc>
        <w:tc>
          <w:tcPr>
            <w:tcW w:type="dxa" w:w="52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Dispropharma — distribución con compra en firme y objetivos de cobertura</w:t>
            </w:r>
          </w:p>
        </w:tc>
      </w:tr>
      <w:tr>
        <w:tc>
          <w:tcPr>
            <w:tcW w:type="dxa" w:w="42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Capital de trabajo y marketing sostenido</w:t>
            </w:r>
          </w:p>
        </w:tc>
        <w:tc>
          <w:tcPr>
            <w:tcW w:type="dxa" w:w="52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Ronda de USD 117.000 cash en dos tramos</w:t>
            </w:r>
          </w:p>
        </w:tc>
      </w:tr>
      <w:tr>
        <w:tc>
          <w:tcPr>
            <w:tcW w:type="dxa" w:w="42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Gobernanza financiera y administrativa</w:t>
            </w:r>
          </w:p>
        </w:tc>
        <w:tc>
          <w:tcPr>
            <w:tcW w:type="dxa" w:w="52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CFO/administración independiente desde el día 1 + pacto de socios con reglas claras</w:t>
            </w:r>
          </w:p>
        </w:tc>
      </w:tr>
    </w:tbl>
    <w:p>
      <w:pPr>
        <w:spacing w:after="120" w:before="0"/>
      </w:pPr>
      <w:r>
        <w:rPr>
          <w:rFonts w:ascii="Arial" w:cs="Arial" w:eastAsia="Arial" w:hAnsi="Arial"/>
          <w:color w:val="282823"/>
          <w:sz w:val="21"/>
          <w:szCs w:val="21"/>
        </w:rPr>
        <w:t xml:space="preserve"/>
      </w:r>
    </w:p>
    <w:p>
      <w:pPr>
        <w:spacing w:after="160" w:before="0"/>
      </w:pPr>
      <w:r>
        <w:rPr>
          <w:rFonts w:ascii="Arial" w:cs="Arial" w:eastAsia="Arial" w:hAnsi="Arial"/>
          <w:color w:val="282823"/>
          <w:sz w:val="21"/>
          <w:szCs w:val="21"/>
        </w:rPr>
        <w:t xml:space="preserve">El fundador concentra su dedicación donde la marca demostró su ventaja: producto, contenido y comunidad. Todo lo demás se terceriza o se contrata con socios especialistas bajo contratos con niveles de servicio.</w:t>
      </w:r>
    </w:p>
    <w:p>
      <w:pPr>
        <w:pStyle w:val="Heading1"/>
        <w:spacing w:after="200" w:before="360"/>
      </w:pPr>
      <w:r>
        <w:rPr>
          <w:rFonts w:ascii="Arial" w:cs="Arial" w:eastAsia="Arial" w:hAnsi="Arial"/>
          <w:b/>
          <w:bCs/>
          <w:color w:val="4B6834"/>
          <w:sz w:val="27"/>
          <w:szCs w:val="27"/>
        </w:rPr>
        <w:t xml:space="preserve">4. Línea de productos — 8 SKUs en 3 fases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1400"/>
        <w:gridCol w:w="1600"/>
      </w:tblGrid>
      <w:tr>
        <w:trPr>
          <w:tblHeader/>
        </w:trPr>
        <w:tc>
          <w:tcPr>
            <w:tcW w:type="dxa" w:w="34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left"/>
            </w:pPr>
            <w:r>
              <w:rPr>
                <w:rFonts w:ascii="Arial" w:cs="Arial" w:eastAsia="Arial" w:hAnsi="Arial"/>
                <w:b/>
                <w:bCs/>
                <w:color w:val="282823"/>
                <w:sz w:val="19"/>
                <w:szCs w:val="19"/>
              </w:rPr>
              <w:t xml:space="preserve">Producto</w:t>
            </w:r>
          </w:p>
        </w:tc>
        <w:tc>
          <w:tcPr>
            <w:tcW w:type="dxa" w:w="15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center"/>
            </w:pPr>
            <w:r>
              <w:rPr>
                <w:rFonts w:ascii="Arial" w:cs="Arial" w:eastAsia="Arial" w:hAnsi="Arial"/>
                <w:b/>
                <w:bCs/>
                <w:color w:val="282823"/>
                <w:sz w:val="19"/>
                <w:szCs w:val="19"/>
              </w:rPr>
              <w:t xml:space="preserve">Formato</w:t>
            </w:r>
          </w:p>
        </w:tc>
        <w:tc>
          <w:tcPr>
            <w:tcW w:type="dxa" w:w="15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center"/>
            </w:pPr>
            <w:r>
              <w:rPr>
                <w:rFonts w:ascii="Arial" w:cs="Arial" w:eastAsia="Arial" w:hAnsi="Arial"/>
                <w:b/>
                <w:bCs/>
                <w:color w:val="282823"/>
                <w:sz w:val="19"/>
                <w:szCs w:val="19"/>
              </w:rPr>
              <w:t xml:space="preserve">PVP ref. (USD)</w:t>
            </w:r>
          </w:p>
        </w:tc>
        <w:tc>
          <w:tcPr>
            <w:tcW w:type="dxa" w:w="14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center"/>
            </w:pPr>
            <w:r>
              <w:rPr>
                <w:rFonts w:ascii="Arial" w:cs="Arial" w:eastAsia="Arial" w:hAnsi="Arial"/>
                <w:b/>
                <w:bCs/>
                <w:color w:val="282823"/>
                <w:sz w:val="19"/>
                <w:szCs w:val="19"/>
              </w:rPr>
              <w:t xml:space="preserve">Fase</w:t>
            </w:r>
          </w:p>
        </w:tc>
        <w:tc>
          <w:tcPr>
            <w:tcW w:type="dxa" w:w="16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center"/>
            </w:pPr>
            <w:r>
              <w:rPr>
                <w:rFonts w:ascii="Arial" w:cs="Arial" w:eastAsia="Arial" w:hAnsi="Arial"/>
                <w:b/>
                <w:bCs/>
                <w:color w:val="282823"/>
                <w:sz w:val="19"/>
                <w:szCs w:val="19"/>
              </w:rPr>
              <w:t xml:space="preserve">Lanzamiento</w:t>
            </w:r>
          </w:p>
        </w:tc>
      </w:tr>
      <w:tr>
        <w:tc>
          <w:tcPr>
            <w:tcW w:type="dxa" w:w="3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Brain Boost — foco y memoria</w:t>
            </w:r>
          </w:p>
        </w:tc>
        <w:tc>
          <w:tcPr>
            <w:tcW w:type="dxa" w:w="1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cáps. x60</w:t>
            </w:r>
          </w:p>
        </w:tc>
        <w:tc>
          <w:tcPr>
            <w:tcW w:type="dxa" w:w="1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35</w:t>
            </w:r>
          </w:p>
        </w:tc>
        <w:tc>
          <w:tcPr>
            <w:tcW w:type="dxa" w:w="1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F1</w:t>
            </w:r>
          </w:p>
        </w:tc>
        <w:tc>
          <w:tcPr>
            <w:tcW w:type="dxa" w:w="1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Mes 1</w:t>
            </w:r>
          </w:p>
        </w:tc>
      </w:tr>
      <w:tr>
        <w:tc>
          <w:tcPr>
            <w:tcW w:type="dxa" w:w="3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Smart Calm — calma y sueño</w:t>
            </w:r>
          </w:p>
        </w:tc>
        <w:tc>
          <w:tcPr>
            <w:tcW w:type="dxa" w:w="1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cáps. x60</w:t>
            </w:r>
          </w:p>
        </w:tc>
        <w:tc>
          <w:tcPr>
            <w:tcW w:type="dxa" w:w="1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35</w:t>
            </w:r>
          </w:p>
        </w:tc>
        <w:tc>
          <w:tcPr>
            <w:tcW w:type="dxa" w:w="1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F1</w:t>
            </w:r>
          </w:p>
        </w:tc>
        <w:tc>
          <w:tcPr>
            <w:tcW w:type="dxa" w:w="1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Mes 1</w:t>
            </w:r>
          </w:p>
        </w:tc>
      </w:tr>
      <w:tr>
        <w:tc>
          <w:tcPr>
            <w:tcW w:type="dxa" w:w="3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Smart Glow — piel</w:t>
            </w:r>
          </w:p>
        </w:tc>
        <w:tc>
          <w:tcPr>
            <w:tcW w:type="dxa" w:w="1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cáps. x60</w:t>
            </w:r>
          </w:p>
        </w:tc>
        <w:tc>
          <w:tcPr>
            <w:tcW w:type="dxa" w:w="1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35</w:t>
            </w:r>
          </w:p>
        </w:tc>
        <w:tc>
          <w:tcPr>
            <w:tcW w:type="dxa" w:w="1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F1</w:t>
            </w:r>
          </w:p>
        </w:tc>
        <w:tc>
          <w:tcPr>
            <w:tcW w:type="dxa" w:w="1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Mes 1</w:t>
            </w:r>
          </w:p>
        </w:tc>
      </w:tr>
      <w:tr>
        <w:tc>
          <w:tcPr>
            <w:tcW w:type="dxa" w:w="3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SMART COFFEE molido specialty</w:t>
            </w:r>
          </w:p>
        </w:tc>
        <w:tc>
          <w:tcPr>
            <w:tcW w:type="dxa" w:w="1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210 g</w:t>
            </w:r>
          </w:p>
        </w:tc>
        <w:tc>
          <w:tcPr>
            <w:tcW w:type="dxa" w:w="1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19</w:t>
            </w:r>
          </w:p>
        </w:tc>
        <w:tc>
          <w:tcPr>
            <w:tcW w:type="dxa" w:w="1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F1</w:t>
            </w:r>
          </w:p>
        </w:tc>
        <w:tc>
          <w:tcPr>
            <w:tcW w:type="dxa" w:w="1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Mes 1</w:t>
            </w:r>
          </w:p>
        </w:tc>
      </w:tr>
      <w:tr>
        <w:tc>
          <w:tcPr>
            <w:tcW w:type="dxa" w:w="3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SMART COFFEE cápsulas Nespresso</w:t>
            </w:r>
          </w:p>
        </w:tc>
        <w:tc>
          <w:tcPr>
            <w:tcW w:type="dxa" w:w="1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x10</w:t>
            </w:r>
          </w:p>
        </w:tc>
        <w:tc>
          <w:tcPr>
            <w:tcW w:type="dxa" w:w="1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15</w:t>
            </w:r>
          </w:p>
        </w:tc>
        <w:tc>
          <w:tcPr>
            <w:tcW w:type="dxa" w:w="1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F1</w:t>
            </w:r>
          </w:p>
        </w:tc>
        <w:tc>
          <w:tcPr>
            <w:tcW w:type="dxa" w:w="1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Mes 1</w:t>
            </w:r>
          </w:p>
        </w:tc>
      </w:tr>
      <w:tr>
        <w:tc>
          <w:tcPr>
            <w:tcW w:type="dxa" w:w="3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Greens + maca (energía)</w:t>
            </w:r>
          </w:p>
        </w:tc>
        <w:tc>
          <w:tcPr>
            <w:tcW w:type="dxa" w:w="1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300 g</w:t>
            </w:r>
          </w:p>
        </w:tc>
        <w:tc>
          <w:tcPr>
            <w:tcW w:type="dxa" w:w="1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43</w:t>
            </w:r>
          </w:p>
        </w:tc>
        <w:tc>
          <w:tcPr>
            <w:tcW w:type="dxa" w:w="1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F2</w:t>
            </w:r>
          </w:p>
        </w:tc>
        <w:tc>
          <w:tcPr>
            <w:tcW w:type="dxa" w:w="1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Mes 4</w:t>
            </w:r>
          </w:p>
        </w:tc>
      </w:tr>
      <w:tr>
        <w:tc>
          <w:tcPr>
            <w:tcW w:type="dxa" w:w="3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Creatina + maca + melena de león</w:t>
            </w:r>
          </w:p>
        </w:tc>
        <w:tc>
          <w:tcPr>
            <w:tcW w:type="dxa" w:w="1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300 g</w:t>
            </w:r>
          </w:p>
        </w:tc>
        <w:tc>
          <w:tcPr>
            <w:tcW w:type="dxa" w:w="1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32</w:t>
            </w:r>
          </w:p>
        </w:tc>
        <w:tc>
          <w:tcPr>
            <w:tcW w:type="dxa" w:w="1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F2</w:t>
            </w:r>
          </w:p>
        </w:tc>
        <w:tc>
          <w:tcPr>
            <w:tcW w:type="dxa" w:w="1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Mes 4</w:t>
            </w:r>
          </w:p>
        </w:tc>
      </w:tr>
      <w:tr>
        <w:tc>
          <w:tcPr>
            <w:tcW w:type="dxa" w:w="3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Healthy Aging +40</w:t>
            </w:r>
          </w:p>
        </w:tc>
        <w:tc>
          <w:tcPr>
            <w:tcW w:type="dxa" w:w="1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cáps. x60</w:t>
            </w:r>
          </w:p>
        </w:tc>
        <w:tc>
          <w:tcPr>
            <w:tcW w:type="dxa" w:w="1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43</w:t>
            </w:r>
          </w:p>
        </w:tc>
        <w:tc>
          <w:tcPr>
            <w:tcW w:type="dxa" w:w="1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F3</w:t>
            </w:r>
          </w:p>
        </w:tc>
        <w:tc>
          <w:tcPr>
            <w:tcW w:type="dxa" w:w="1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Mes 7</w:t>
            </w:r>
          </w:p>
        </w:tc>
      </w:tr>
    </w:tbl>
    <w:p>
      <w:pPr>
        <w:spacing w:after="120" w:before="0"/>
      </w:pPr>
      <w:r>
        <w:rPr>
          <w:rFonts w:ascii="Arial" w:cs="Arial" w:eastAsia="Arial" w:hAnsi="Arial"/>
          <w:color w:val="282823"/>
          <w:sz w:val="21"/>
          <w:szCs w:val="21"/>
        </w:rPr>
        <w:t xml:space="preserve"/>
      </w:r>
    </w:p>
    <w:p>
      <w:pPr>
        <w:pStyle w:val="ListParagraph"/>
        <w:numPr>
          <w:ilvl w:val="0"/>
          <w:numId w:val="2"/>
        </w:numPr>
        <w:spacing w:after="100"/>
      </w:pPr>
      <w:r>
        <w:rPr>
          <w:rFonts w:ascii="Arial" w:cs="Arial" w:eastAsia="Arial" w:hAnsi="Arial"/>
          <w:b w:val="false"/>
          <w:bCs w:val="false"/>
          <w:color w:val="282823"/>
          <w:sz w:val="21"/>
          <w:szCs w:val="21"/>
        </w:rPr>
        <w:t xml:space="preserve">Cápsulas de adaptógenos (línea nueva): el formato de mayor conveniencia y recurrencia de la categoría, fabricado por PGN. Los extractos en polvo históricos se mantienen como línea premium.</w:t>
      </w:r>
    </w:p>
    <w:p>
      <w:pPr>
        <w:pStyle w:val="ListParagraph"/>
        <w:numPr>
          <w:ilvl w:val="0"/>
          <w:numId w:val="2"/>
        </w:numPr>
        <w:spacing w:after="100"/>
      </w:pPr>
      <w:r>
        <w:rPr>
          <w:rFonts w:ascii="Arial" w:cs="Arial" w:eastAsia="Arial" w:hAnsi="Arial"/>
          <w:b w:val="false"/>
          <w:bCs w:val="false"/>
          <w:color w:val="282823"/>
          <w:sz w:val="21"/>
          <w:szCs w:val="21"/>
        </w:rPr>
        <w:t xml:space="preserve">SMART COFFEE: specialty (SCA 87+) con la conveniencia Nespresso — puerta de entrada diaria a la marca y diferenciación premium frente al café funcional genérico.</w:t>
      </w:r>
    </w:p>
    <w:p>
      <w:pPr>
        <w:pStyle w:val="ListParagraph"/>
        <w:numPr>
          <w:ilvl w:val="0"/>
          <w:numId w:val="2"/>
        </w:numPr>
        <w:spacing w:after="100"/>
      </w:pPr>
      <w:r>
        <w:rPr>
          <w:rFonts w:ascii="Arial" w:cs="Arial" w:eastAsia="Arial" w:hAnsi="Arial"/>
          <w:b w:val="false"/>
          <w:bCs w:val="false"/>
          <w:color w:val="282823"/>
          <w:sz w:val="21"/>
          <w:szCs w:val="21"/>
        </w:rPr>
        <w:t xml:space="preserve">Creatina + maca + melena: la categoría de mayor crecimiento del mercado local de suplementos, con un diferencial propio (blend con melena de león). Producto ancla de la fase 2, unisex y de compra mensual.</w:t>
      </w:r>
    </w:p>
    <w:p>
      <w:pPr>
        <w:pStyle w:val="ListParagraph"/>
        <w:numPr>
          <w:ilvl w:val="0"/>
          <w:numId w:val="2"/>
        </w:numPr>
        <w:spacing w:after="100"/>
      </w:pPr>
      <w:r>
        <w:rPr>
          <w:rFonts w:ascii="Arial" w:cs="Arial" w:eastAsia="Arial" w:hAnsi="Arial"/>
          <w:b w:val="false"/>
          <w:bCs w:val="false"/>
          <w:color w:val="282823"/>
          <w:sz w:val="21"/>
          <w:szCs w:val="21"/>
        </w:rPr>
        <w:t xml:space="preserve">Greens multivitamínico: la tendencia global "greens diarios" (tipo AG1) sin jugador dominante local; ticket alto y suscripción natural.</w:t>
      </w:r>
    </w:p>
    <w:p>
      <w:pPr>
        <w:pStyle w:val="ListParagraph"/>
        <w:numPr>
          <w:ilvl w:val="0"/>
          <w:numId w:val="2"/>
        </w:numPr>
        <w:spacing w:after="100"/>
      </w:pPr>
      <w:r>
        <w:rPr>
          <w:rFonts w:ascii="Arial" w:cs="Arial" w:eastAsia="Arial" w:hAnsi="Arial"/>
          <w:b w:val="false"/>
          <w:bCs w:val="false"/>
          <w:color w:val="282823"/>
          <w:sz w:val="21"/>
          <w:szCs w:val="21"/>
        </w:rPr>
        <w:t xml:space="preserve">Healthy Aging +40: segmento peri/menopausia y andropausia desatendido en Argentina. Naming y claims 100% dentro del marco ANMAT (encuadre "healthy aging"; el research regulatorio y de mercado ya está hecho).</w:t>
      </w:r>
    </w:p>
    <w:p>
      <w:pPr>
        <w:spacing w:after="200" w:before="0"/>
      </w:pPr>
      <w:r>
        <w:rPr>
          <w:rFonts w:ascii="Arial" w:cs="Arial" w:eastAsia="Arial" w:hAnsi="Arial"/>
          <w:i/>
          <w:iCs/>
          <w:color w:val="666666"/>
          <w:sz w:val="18"/>
          <w:szCs w:val="18"/>
        </w:rPr>
        <w:t xml:space="preserve">Todos los PVP son referencias editables del modelo. Los registros RNPA de los productos nuevos se tramitan con PGN como elaborador y titularidad de la NewCo.</w:t>
      </w:r>
    </w:p>
    <w:p>
      <w:pPr>
        <w:pStyle w:val="Heading1"/>
        <w:spacing w:after="200" w:before="360"/>
      </w:pPr>
      <w:r>
        <w:rPr>
          <w:rFonts w:ascii="Arial" w:cs="Arial" w:eastAsia="Arial" w:hAnsi="Arial"/>
          <w:b/>
          <w:bCs/>
          <w:color w:val="4B6834"/>
          <w:sz w:val="27"/>
          <w:szCs w:val="27"/>
        </w:rPr>
        <w:t xml:space="preserve">5. Mercado y momento</w:t>
      </w:r>
    </w:p>
    <w:p>
      <w:pPr>
        <w:pStyle w:val="ListParagraph"/>
        <w:numPr>
          <w:ilvl w:val="0"/>
          <w:numId w:val="2"/>
        </w:numPr>
        <w:spacing w:after="100"/>
      </w:pPr>
      <w:r>
        <w:rPr>
          <w:rFonts w:ascii="Arial" w:cs="Arial" w:eastAsia="Arial" w:hAnsi="Arial"/>
          <w:b w:val="false"/>
          <w:bCs w:val="false"/>
          <w:color w:val="282823"/>
          <w:sz w:val="21"/>
          <w:szCs w:val="21"/>
        </w:rPr>
        <w:t xml:space="preserve">La creatina cruzó de nicho deportivo a consumo masivo: es hoy la categoría de suplementos de mayor crecimiento en Argentina, con demanda unisex y de compra mensual.</w:t>
      </w:r>
    </w:p>
    <w:p>
      <w:pPr>
        <w:pStyle w:val="ListParagraph"/>
        <w:numPr>
          <w:ilvl w:val="0"/>
          <w:numId w:val="2"/>
        </w:numPr>
        <w:spacing w:after="100"/>
      </w:pPr>
      <w:r>
        <w:rPr>
          <w:rFonts w:ascii="Arial" w:cs="Arial" w:eastAsia="Arial" w:hAnsi="Arial"/>
          <w:b w:val="false"/>
          <w:bCs w:val="false"/>
          <w:color w:val="282823"/>
          <w:sz w:val="21"/>
          <w:szCs w:val="21"/>
        </w:rPr>
        <w:t xml:space="preserve">El segmento +40 (menopausia/andropausia, longevidad) no tiene un jugador dominante local, mientras crece de forma sostenida en mercados desarrollados.</w:t>
      </w:r>
    </w:p>
    <w:p>
      <w:pPr>
        <w:pStyle w:val="ListParagraph"/>
        <w:numPr>
          <w:ilvl w:val="0"/>
          <w:numId w:val="2"/>
        </w:numPr>
        <w:spacing w:after="100"/>
      </w:pPr>
      <w:r>
        <w:rPr>
          <w:rFonts w:ascii="Arial" w:cs="Arial" w:eastAsia="Arial" w:hAnsi="Arial"/>
          <w:b w:val="false"/>
          <w:bCs w:val="false"/>
          <w:color w:val="282823"/>
          <w:sz w:val="21"/>
          <w:szCs w:val="21"/>
        </w:rPr>
        <w:t xml:space="preserve">Los adaptógenos ya fueron validados en Argentina por múltiples marcas independientes — pero ninguna combina certificación ANMAT, canal farmacia a escala y datos de recurrencia como los de la sección 2.</w:t>
      </w:r>
    </w:p>
    <w:p>
      <w:pPr>
        <w:pStyle w:val="ListParagraph"/>
        <w:numPr>
          <w:ilvl w:val="0"/>
          <w:numId w:val="2"/>
        </w:numPr>
        <w:spacing w:after="100"/>
      </w:pPr>
      <w:r>
        <w:rPr>
          <w:rFonts w:ascii="Arial" w:cs="Arial" w:eastAsia="Arial" w:hAnsi="Arial"/>
          <w:b w:val="false"/>
          <w:bCs w:val="false"/>
          <w:color w:val="282823"/>
          <w:sz w:val="21"/>
          <w:szCs w:val="21"/>
        </w:rPr>
        <w:t xml:space="preserve">El specialty coffee crece a doble dígito y la conveniencia (cápsulas) es el formato de mayor expansión.</w:t>
      </w:r>
    </w:p>
    <w:p>
      <w:pPr>
        <w:spacing w:after="160" w:before="0"/>
      </w:pPr>
      <w:r>
        <w:rPr>
          <w:rFonts w:ascii="Arial" w:cs="Arial" w:eastAsia="Arial" w:hAnsi="Arial"/>
          <w:color w:val="282823"/>
          <w:sz w:val="21"/>
          <w:szCs w:val="21"/>
        </w:rPr>
        <w:t xml:space="preserve">El momento: la marca, los registros y la comunidad ya existen; la capacidad fabril y el canal entran como socios. El costo de oportunidad de esta combinación es reconstruirla desde cero — 12 a 18 meses de registros, marca y aprendizaje que esta estructura ya tiene amortizados.</w:t>
      </w:r>
    </w:p>
    <w:p>
      <w:pPr>
        <w:pStyle w:val="Heading1"/>
        <w:spacing w:after="200" w:before="360"/>
      </w:pPr>
      <w:r>
        <w:rPr>
          <w:rFonts w:ascii="Arial" w:cs="Arial" w:eastAsia="Arial" w:hAnsi="Arial"/>
          <w:b/>
          <w:bCs/>
          <w:color w:val="4B6834"/>
          <w:sz w:val="27"/>
          <w:szCs w:val="27"/>
        </w:rPr>
        <w:t xml:space="preserve">6. Modelo de negocio: dos motores complementarios</w:t>
      </w:r>
    </w:p>
    <w:p>
      <w:pPr>
        <w:pStyle w:val="Heading2"/>
        <w:spacing w:after="140" w:before="240"/>
      </w:pPr>
      <w:r>
        <w:rPr>
          <w:rFonts w:ascii="Arial" w:cs="Arial" w:eastAsia="Arial" w:hAnsi="Arial"/>
          <w:b/>
          <w:bCs/>
          <w:color w:val="282823"/>
          <w:sz w:val="22"/>
          <w:szCs w:val="22"/>
        </w:rPr>
        <w:t xml:space="preserve">Motor 1 — D2C (tienda propia, MercadoLibre, WhatsApp)</w:t>
      </w:r>
    </w:p>
    <w:p>
      <w:pPr>
        <w:pStyle w:val="ListParagraph"/>
        <w:numPr>
          <w:ilvl w:val="0"/>
          <w:numId w:val="2"/>
        </w:numPr>
        <w:spacing w:after="100"/>
      </w:pPr>
      <w:r>
        <w:rPr>
          <w:rFonts w:ascii="Arial" w:cs="Arial" w:eastAsia="Arial" w:hAnsi="Arial"/>
          <w:b w:val="false"/>
          <w:bCs w:val="false"/>
          <w:color w:val="282823"/>
          <w:sz w:val="21"/>
          <w:szCs w:val="21"/>
        </w:rPr>
        <w:t xml:space="preserve">Margen neto ~85% del PVP en canal propio; recurrencia demostrada y programa de suscripción (15% off) para consolidarla.</w:t>
      </w:r>
    </w:p>
    <w:p>
      <w:pPr>
        <w:pStyle w:val="ListParagraph"/>
        <w:numPr>
          <w:ilvl w:val="0"/>
          <w:numId w:val="2"/>
        </w:numPr>
        <w:spacing w:after="100"/>
      </w:pPr>
      <w:r>
        <w:rPr>
          <w:rFonts w:ascii="Arial" w:cs="Arial" w:eastAsia="Arial" w:hAnsi="Arial"/>
          <w:b w:val="false"/>
          <w:bCs w:val="false"/>
          <w:color w:val="282823"/>
          <w:sz w:val="21"/>
          <w:szCs w:val="21"/>
        </w:rPr>
        <w:t xml:space="preserve">Base orgánica activa (~53 órdenes/mes sin inversión) + pauta con arranque prudente (USD 1.000/mes) que solo escala si el costo de adquisición valida payback &lt; 60 días.</w:t>
      </w:r>
    </w:p>
    <w:p>
      <w:pPr>
        <w:pStyle w:val="Heading2"/>
        <w:spacing w:after="140" w:before="240"/>
      </w:pPr>
      <w:r>
        <w:rPr>
          <w:rFonts w:ascii="Arial" w:cs="Arial" w:eastAsia="Arial" w:hAnsi="Arial"/>
          <w:b/>
          <w:bCs/>
          <w:color w:val="282823"/>
          <w:sz w:val="22"/>
          <w:szCs w:val="22"/>
        </w:rPr>
        <w:t xml:space="preserve">Motor 2 — Canal farmacia/dietética (Dispropharma)</w:t>
      </w:r>
    </w:p>
    <w:p>
      <w:pPr>
        <w:pStyle w:val="ListParagraph"/>
        <w:numPr>
          <w:ilvl w:val="0"/>
          <w:numId w:val="2"/>
        </w:numPr>
        <w:spacing w:after="100"/>
      </w:pPr>
      <w:r>
        <w:rPr>
          <w:rFonts w:ascii="Arial" w:cs="Arial" w:eastAsia="Arial" w:hAnsi="Arial"/>
          <w:b w:val="false"/>
          <w:bCs w:val="false"/>
          <w:color w:val="282823"/>
          <w:sz w:val="21"/>
          <w:szCs w:val="21"/>
        </w:rPr>
        <w:t xml:space="preserve">Compra en firme (sin consignación), precio de venta al distribuidor = 60% del PVP, cobro a 60 días.</w:t>
      </w:r>
    </w:p>
    <w:p>
      <w:pPr>
        <w:pStyle w:val="ListParagraph"/>
        <w:numPr>
          <w:ilvl w:val="0"/>
          <w:numId w:val="2"/>
        </w:numPr>
        <w:spacing w:after="100"/>
      </w:pPr>
      <w:r>
        <w:rPr>
          <w:rFonts w:ascii="Arial" w:cs="Arial" w:eastAsia="Arial" w:hAnsi="Arial"/>
          <w:b w:val="false"/>
          <w:bCs w:val="false"/>
          <w:color w:val="282823"/>
          <w:sz w:val="21"/>
          <w:szCs w:val="21"/>
        </w:rPr>
        <w:t xml:space="preserve">Escala por puntos de venta con objetivos de cobertura y de rotación (sell-out) — los objetivos del contrato de distribución salen del mismo modelo que esta proyección.</w:t>
      </w:r>
    </w:p>
    <w:p>
      <w:pPr>
        <w:spacing w:after="160" w:before="0"/>
      </w:pPr>
      <w:r>
        <w:rPr>
          <w:rFonts w:ascii="Arial" w:cs="Arial" w:eastAsia="Arial" w:hAnsi="Arial"/>
          <w:color w:val="282823"/>
          <w:sz w:val="21"/>
          <w:szCs w:val="21"/>
        </w:rPr>
        <w:t xml:space="preserve">Los dos motores se protegen mutuamente: el D2C sostiene el margen y la relación directa con el cliente; el canal físico da volumen, presencia y validación. La empresa no depende de un único canal.</w:t>
      </w:r>
    </w:p>
    <w:p>
      <w:pPr>
        <w:pStyle w:val="Heading1"/>
        <w:spacing w:after="200" w:before="360"/>
      </w:pPr>
      <w:r>
        <w:rPr>
          <w:rFonts w:ascii="Arial" w:cs="Arial" w:eastAsia="Arial" w:hAnsi="Arial"/>
          <w:b/>
          <w:bCs/>
          <w:color w:val="4B6834"/>
          <w:sz w:val="27"/>
          <w:szCs w:val="27"/>
        </w:rPr>
        <w:t xml:space="preserve">7. Plan de inversión: usos, fuentes y tramos</w:t>
      </w:r>
    </w:p>
    <w:p>
      <w:pPr>
        <w:pStyle w:val="Heading2"/>
        <w:spacing w:after="140" w:before="240"/>
      </w:pPr>
      <w:r>
        <w:rPr>
          <w:rFonts w:ascii="Arial" w:cs="Arial" w:eastAsia="Arial" w:hAnsi="Arial"/>
          <w:b/>
          <w:bCs/>
          <w:color w:val="282823"/>
          <w:sz w:val="22"/>
          <w:szCs w:val="22"/>
        </w:rPr>
        <w:t xml:space="preserve">Usos de fondos — 12 meses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2100"/>
        <w:gridCol w:w="2600"/>
      </w:tblGrid>
      <w:tr>
        <w:trPr>
          <w:tblHeader/>
        </w:trPr>
        <w:tc>
          <w:tcPr>
            <w:tcW w:type="dxa" w:w="47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left"/>
            </w:pPr>
            <w:r>
              <w:rPr>
                <w:rFonts w:ascii="Arial" w:cs="Arial" w:eastAsia="Arial" w:hAnsi="Arial"/>
                <w:b/>
                <w:bCs/>
                <w:color w:val="282823"/>
                <w:sz w:val="19"/>
                <w:szCs w:val="19"/>
              </w:rPr>
              <w:t xml:space="preserve">Rubro</w:t>
            </w:r>
          </w:p>
        </w:tc>
        <w:tc>
          <w:tcPr>
            <w:tcW w:type="dxa" w:w="21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center"/>
            </w:pPr>
            <w:r>
              <w:rPr>
                <w:rFonts w:ascii="Arial" w:cs="Arial" w:eastAsia="Arial" w:hAnsi="Arial"/>
                <w:b/>
                <w:bCs/>
                <w:color w:val="282823"/>
                <w:sz w:val="19"/>
                <w:szCs w:val="19"/>
              </w:rPr>
              <w:t xml:space="preserve">USD</w:t>
            </w:r>
          </w:p>
        </w:tc>
        <w:tc>
          <w:tcPr>
            <w:tcW w:type="dxa" w:w="26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center"/>
            </w:pPr>
            <w:r>
              <w:rPr>
                <w:rFonts w:ascii="Arial" w:cs="Arial" w:eastAsia="Arial" w:hAnsi="Arial"/>
                <w:b/>
                <w:bCs/>
                <w:color w:val="282823"/>
                <w:sz w:val="19"/>
                <w:szCs w:val="19"/>
              </w:rPr>
              <w:t xml:space="preserve">Nota</w:t>
            </w:r>
          </w:p>
        </w:tc>
      </w:tr>
      <w:tr>
        <w:tc>
          <w:tcPr>
            <w:tcW w:type="dxa" w:w="47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Producción suplementos (5 familias)</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67.000</w:t>
            </w:r>
          </w:p>
        </w:tc>
        <w:tc>
          <w:tcPr>
            <w:tcW w:type="dxa" w:w="2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In-kind PGN a costo de fabricación</w:t>
            </w:r>
          </w:p>
        </w:tc>
      </w:tr>
      <w:tr>
        <w:tc>
          <w:tcPr>
            <w:tcW w:type="dxa" w:w="47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Producción SMART COFFEE</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12.500</w:t>
            </w:r>
          </w:p>
        </w:tc>
        <w:tc>
          <w:tcPr>
            <w:tcW w:type="dxa" w:w="2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Cash</w:t>
            </w:r>
          </w:p>
        </w:tc>
      </w:tr>
      <w:tr>
        <w:tc>
          <w:tcPr>
            <w:tcW w:type="dxa" w:w="47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Regulatorio (RNPA x5, análisis)</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6.000</w:t>
            </w:r>
          </w:p>
        </w:tc>
        <w:tc>
          <w:tcPr>
            <w:tcW w:type="dxa" w:w="2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Cash</w:t>
            </w:r>
          </w:p>
        </w:tc>
      </w:tr>
      <w:tr>
        <w:tc>
          <w:tcPr>
            <w:tcW w:type="dxa" w:w="47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Branding + packaging (8 SKUs)</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10.000</w:t>
            </w:r>
          </w:p>
        </w:tc>
        <w:tc>
          <w:tcPr>
            <w:tcW w:type="dxa" w:w="2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Cash</w:t>
            </w:r>
          </w:p>
        </w:tc>
      </w:tr>
      <w:tr>
        <w:tc>
          <w:tcPr>
            <w:tcW w:type="dxa" w:w="47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Trade marketing canal (POP, exhibidores, muestras)</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8.000</w:t>
            </w:r>
          </w:p>
        </w:tc>
        <w:tc>
          <w:tcPr>
            <w:tcW w:type="dxa" w:w="2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Cash</w:t>
            </w:r>
          </w:p>
        </w:tc>
      </w:tr>
      <w:tr>
        <w:tc>
          <w:tcPr>
            <w:tcW w:type="dxa" w:w="47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Contenido (12 meses, terciarizado)</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21.600</w:t>
            </w:r>
          </w:p>
        </w:tc>
        <w:tc>
          <w:tcPr>
            <w:tcW w:type="dxa" w:w="2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Cash — USD 1.800/mes</w:t>
            </w:r>
          </w:p>
        </w:tc>
      </w:tr>
      <w:tr>
        <w:tc>
          <w:tcPr>
            <w:tcW w:type="dxa" w:w="47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Meta Ads (12 meses)</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12.000</w:t>
            </w:r>
          </w:p>
        </w:tc>
        <w:tc>
          <w:tcPr>
            <w:tcW w:type="dxa" w:w="2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Cash — USD 1.000/mes, escala solo si valida CAC</w:t>
            </w:r>
          </w:p>
        </w:tc>
      </w:tr>
      <w:tr>
        <w:tc>
          <w:tcPr>
            <w:tcW w:type="dxa" w:w="47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Tecnología / ecommerce</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3.600</w:t>
            </w:r>
          </w:p>
        </w:tc>
        <w:tc>
          <w:tcPr>
            <w:tcW w:type="dxa" w:w="2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Cash</w:t>
            </w:r>
          </w:p>
        </w:tc>
      </w:tr>
      <w:tr>
        <w:tc>
          <w:tcPr>
            <w:tcW w:type="dxa" w:w="47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Administración y finanzas (CFO fraccional)</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8.000</w:t>
            </w:r>
          </w:p>
        </w:tc>
        <w:tc>
          <w:tcPr>
            <w:tcW w:type="dxa" w:w="2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Cash — función independiente desde día 1</w:t>
            </w:r>
          </w:p>
        </w:tc>
      </w:tr>
      <w:tr>
        <w:tc>
          <w:tcPr>
            <w:tcW w:type="dxa" w:w="47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Dedicación del fundador (12 meses)</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36.000</w:t>
            </w:r>
          </w:p>
        </w:tc>
        <w:tc>
          <w:tcPr>
            <w:tcW w:type="dxa" w:w="26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Cash — USD 3.000/mes, transparente en el plan</w:t>
            </w:r>
          </w:p>
        </w:tc>
      </w:tr>
      <w:tr>
        <w:tc>
          <w:tcPr>
            <w:tcW w:type="dxa" w:w="4700"/>
            <w:tcBorders>
              <w:top w:val="single" w:color="DDDDDD" w:sz="4"/>
              <w:left w:val="single" w:color="DDDDDD" w:sz="4"/>
              <w:bottom w:val="single" w:color="DDDDDD" w:sz="4"/>
              <w:right w:val="single" w:color="DDDDDD" w:sz="4"/>
            </w:tcBorders>
            <w:shd w:fill="EFF3EA" w:val="clear"/>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TOTAL</w:t>
            </w:r>
          </w:p>
        </w:tc>
        <w:tc>
          <w:tcPr>
            <w:tcW w:type="dxa" w:w="2100"/>
            <w:tcBorders>
              <w:top w:val="single" w:color="DDDDDD" w:sz="4"/>
              <w:left w:val="single" w:color="DDDDDD" w:sz="4"/>
              <w:bottom w:val="single" w:color="DDDDDD" w:sz="4"/>
              <w:right w:val="single" w:color="DDDDDD" w:sz="4"/>
            </w:tcBorders>
            <w:shd w:fill="EFF3EA" w:val="clear"/>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≈184.700</w:t>
            </w:r>
          </w:p>
        </w:tc>
        <w:tc>
          <w:tcPr>
            <w:tcW w:type="dxa" w:w="2600"/>
            <w:tcBorders>
              <w:top w:val="single" w:color="DDDDDD" w:sz="4"/>
              <w:left w:val="single" w:color="DDDDDD" w:sz="4"/>
              <w:bottom w:val="single" w:color="DDDDDD" w:sz="4"/>
              <w:right w:val="single" w:color="DDDDDD" w:sz="4"/>
            </w:tcBorders>
            <w:shd w:fill="EFF3EA" w:val="clear"/>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67.000 in-kind + ≈117.700 cash</w:t>
            </w:r>
          </w:p>
        </w:tc>
      </w:tr>
    </w:tbl>
    <w:p>
      <w:pPr>
        <w:spacing w:after="120" w:before="0"/>
      </w:pPr>
      <w:r>
        <w:rPr>
          <w:rFonts w:ascii="Arial" w:cs="Arial" w:eastAsia="Arial" w:hAnsi="Arial"/>
          <w:color w:val="282823"/>
          <w:sz w:val="21"/>
          <w:szCs w:val="21"/>
        </w:rPr>
        <w:t xml:space="preserve"/>
      </w:r>
    </w:p>
    <w:p>
      <w:pPr>
        <w:pStyle w:val="Heading2"/>
        <w:spacing w:after="140" w:before="240"/>
      </w:pPr>
      <w:r>
        <w:rPr>
          <w:rFonts w:ascii="Arial" w:cs="Arial" w:eastAsia="Arial" w:hAnsi="Arial"/>
          <w:b/>
          <w:bCs/>
          <w:color w:val="282823"/>
          <w:sz w:val="22"/>
          <w:szCs w:val="22"/>
        </w:rPr>
        <w:t xml:space="preserve">Desembolso en dos tramos con objetivos</w:t>
      </w:r>
    </w:p>
    <w:p>
      <w:pPr>
        <w:pStyle w:val="ListParagraph"/>
        <w:numPr>
          <w:ilvl w:val="0"/>
          <w:numId w:val="2"/>
        </w:numPr>
        <w:spacing w:after="100"/>
      </w:pPr>
      <w:r>
        <w:rPr>
          <w:rFonts w:ascii="Arial" w:cs="Arial" w:eastAsia="Arial" w:hAnsi="Arial"/>
          <w:b w:val="false"/>
          <w:bCs w:val="false"/>
          <w:color w:val="282823"/>
          <w:sz w:val="21"/>
          <w:szCs w:val="21"/>
        </w:rPr>
        <w:t xml:space="preserve">Tramo 1 (al cierre): 50% del cash. Financia fases 0-1 (relanzamiento café + cápsulas, canal encendido).</w:t>
      </w:r>
    </w:p>
    <w:p>
      <w:pPr>
        <w:pStyle w:val="ListParagraph"/>
        <w:numPr>
          <w:ilvl w:val="0"/>
          <w:numId w:val="2"/>
        </w:numPr>
        <w:spacing w:after="100"/>
      </w:pPr>
      <w:r>
        <w:rPr>
          <w:rFonts w:ascii="Arial" w:cs="Arial" w:eastAsia="Arial" w:hAnsi="Arial"/>
          <w:b w:val="false"/>
          <w:bCs w:val="false"/>
          <w:color w:val="282823"/>
          <w:sz w:val="21"/>
          <w:szCs w:val="21"/>
        </w:rPr>
        <w:t xml:space="preserve">Objetivos de control (mes 5-6): recompra a 90 días &gt; 20% · sell-out &gt; 3 unidades/punto/mes · payback de adquisición &lt; 60 días.</w:t>
      </w:r>
    </w:p>
    <w:p>
      <w:pPr>
        <w:pStyle w:val="ListParagraph"/>
        <w:numPr>
          <w:ilvl w:val="0"/>
          <w:numId w:val="2"/>
        </w:numPr>
        <w:spacing w:after="100"/>
      </w:pPr>
      <w:r>
        <w:rPr>
          <w:rFonts w:ascii="Arial" w:cs="Arial" w:eastAsia="Arial" w:hAnsi="Arial"/>
          <w:b w:val="false"/>
          <w:bCs w:val="false"/>
          <w:color w:val="282823"/>
          <w:sz w:val="21"/>
          <w:szCs w:val="21"/>
        </w:rPr>
        <w:t xml:space="preserve">Tramo 2 (mes 7): 50% restante, contra objetivos cumplidos. Financia fases 2-3 (greens, creatina, línea +40).</w:t>
      </w:r>
    </w:p>
    <w:p>
      <w:pPr>
        <w:spacing w:after="160"/>
      </w:pPr>
      <w:r>
        <w:rPr>
          <w:rFonts w:ascii="Arial" w:cs="Arial" w:eastAsia="Arial" w:hAnsi="Arial"/>
          <w:b/>
          <w:bCs/>
          <w:color w:val="282823"/>
          <w:sz w:val="21"/>
          <w:szCs w:val="21"/>
        </w:rPr>
        <w:t xml:space="preserve">Por qué esta estructura protege a todos: </w:t>
      </w:r>
      <w:r>
        <w:rPr>
          <w:rFonts w:ascii="Arial" w:cs="Arial" w:eastAsia="Arial" w:hAnsi="Arial"/>
          <w:color w:val="282823"/>
          <w:sz w:val="21"/>
          <w:szCs w:val="21"/>
        </w:rPr>
        <w:t xml:space="preserve">con solo el Tramo 1 desembolsado, la caja proyectada nunca es negativa en ninguno de los tres escenarios (mínimo de caja: +USD 37.000 incluso en el piso). Nadie compromete el total contra una promesa; el capital sigue a la evidencia.</w:t>
      </w:r>
    </w:p>
    <w:p>
      <w:pPr>
        <w:pStyle w:val="Heading2"/>
        <w:spacing w:after="140" w:before="240"/>
      </w:pPr>
      <w:r>
        <w:rPr>
          <w:rFonts w:ascii="Arial" w:cs="Arial" w:eastAsia="Arial" w:hAnsi="Arial"/>
          <w:b/>
          <w:bCs/>
          <w:color w:val="282823"/>
          <w:sz w:val="22"/>
          <w:szCs w:val="22"/>
        </w:rPr>
        <w:t xml:space="preserve">Criterios de freno pactados de antemano</w:t>
      </w:r>
    </w:p>
    <w:p>
      <w:pPr>
        <w:spacing w:after="160" w:before="0"/>
      </w:pPr>
      <w:r>
        <w:rPr>
          <w:rFonts w:ascii="Arial" w:cs="Arial" w:eastAsia="Arial" w:hAnsi="Arial"/>
          <w:color w:val="282823"/>
          <w:sz w:val="21"/>
          <w:szCs w:val="21"/>
        </w:rPr>
        <w:t xml:space="preserve">Si al mes 10-12 la recompra a 90 días es &lt; 15% y el sell-out &lt; 2 unidades/punto/mes, el protocolo pactado es frenar y decidir en conjunto (corregir mix/precio o liquidar ordenadamente) — no forzar el Tramo 2. Pactar esto en frío es parte de la gobernanza que esta etapa incorpora.</w:t>
      </w:r>
    </w:p>
    <w:p>
      <w:pPr>
        <w:pStyle w:val="Heading1"/>
        <w:spacing w:after="200" w:before="360"/>
      </w:pPr>
      <w:r>
        <w:rPr>
          <w:rFonts w:ascii="Arial" w:cs="Arial" w:eastAsia="Arial" w:hAnsi="Arial"/>
          <w:b/>
          <w:bCs/>
          <w:color w:val="4B6834"/>
          <w:sz w:val="27"/>
          <w:szCs w:val="27"/>
        </w:rPr>
        <w:t xml:space="preserve">8. Proyección: piso, base y techo</w:t>
      </w:r>
    </w:p>
    <w:p>
      <w:pPr>
        <w:spacing w:after="160" w:before="0"/>
      </w:pPr>
      <w:r>
        <w:rPr>
          <w:rFonts w:ascii="Arial" w:cs="Arial" w:eastAsia="Arial" w:hAnsi="Arial"/>
          <w:color w:val="282823"/>
          <w:sz w:val="21"/>
          <w:szCs w:val="21"/>
        </w:rPr>
        <w:t xml:space="preserve">El modelo completo (adjunto en planilla editable) proyecta mensualmente 24 meses y anualmente hasta el año 5, con dos motores independientes y todos los supuestos visibles y editables. Los tres escenarios difieren en un único multiplicador de demanda (±30%) aplicado a órdenes orgánicas, adquisición paga y rotación del canal.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2100"/>
        <w:gridCol w:w="2100"/>
      </w:tblGrid>
      <w:tr>
        <w:trPr>
          <w:tblHeader/>
        </w:trPr>
        <w:tc>
          <w:tcPr>
            <w:tcW w:type="dxa" w:w="33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left"/>
            </w:pPr>
            <w:r>
              <w:rPr>
                <w:rFonts w:ascii="Arial" w:cs="Arial" w:eastAsia="Arial" w:hAnsi="Arial"/>
                <w:b/>
                <w:bCs/>
                <w:color w:val="282823"/>
                <w:sz w:val="19"/>
                <w:szCs w:val="19"/>
              </w:rPr>
              <w:t xml:space="preserve">Métrica</w:t>
            </w:r>
          </w:p>
        </w:tc>
        <w:tc>
          <w:tcPr>
            <w:tcW w:type="dxa" w:w="21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center"/>
            </w:pPr>
            <w:r>
              <w:rPr>
                <w:rFonts w:ascii="Arial" w:cs="Arial" w:eastAsia="Arial" w:hAnsi="Arial"/>
                <w:b/>
                <w:bCs/>
                <w:color w:val="282823"/>
                <w:sz w:val="19"/>
                <w:szCs w:val="19"/>
              </w:rPr>
              <w:t xml:space="preserve">PISO (−30%)</w:t>
            </w:r>
          </w:p>
        </w:tc>
        <w:tc>
          <w:tcPr>
            <w:tcW w:type="dxa" w:w="21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center"/>
            </w:pPr>
            <w:r>
              <w:rPr>
                <w:rFonts w:ascii="Arial" w:cs="Arial" w:eastAsia="Arial" w:hAnsi="Arial"/>
                <w:b/>
                <w:bCs/>
                <w:color w:val="282823"/>
                <w:sz w:val="19"/>
                <w:szCs w:val="19"/>
              </w:rPr>
              <w:t xml:space="preserve">BASE</w:t>
            </w:r>
          </w:p>
        </w:tc>
        <w:tc>
          <w:tcPr>
            <w:tcW w:type="dxa" w:w="21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center"/>
            </w:pPr>
            <w:r>
              <w:rPr>
                <w:rFonts w:ascii="Arial" w:cs="Arial" w:eastAsia="Arial" w:hAnsi="Arial"/>
                <w:b/>
                <w:bCs/>
                <w:color w:val="282823"/>
                <w:sz w:val="19"/>
                <w:szCs w:val="19"/>
              </w:rPr>
              <w:t xml:space="preserve">TECHO (+30%)</w:t>
            </w:r>
          </w:p>
        </w:tc>
      </w:tr>
      <w:tr>
        <w:tc>
          <w:tcPr>
            <w:tcW w:type="dxa" w:w="33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bCs/>
                <w:color w:val="282823"/>
                <w:sz w:val="19"/>
                <w:szCs w:val="19"/>
              </w:rPr>
              <w:t xml:space="preserve">Ventas año 1 (USD)</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213.000</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291.000</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370.000</w:t>
            </w:r>
          </w:p>
        </w:tc>
      </w:tr>
      <w:tr>
        <w:tc>
          <w:tcPr>
            <w:tcW w:type="dxa" w:w="33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bCs/>
                <w:color w:val="282823"/>
                <w:sz w:val="19"/>
                <w:szCs w:val="19"/>
              </w:rPr>
              <w:t xml:space="preserve">EBITDA año 1 (USD / %)</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41.000 / 19%</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97.000 / 33%</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153.000 / 41%</w:t>
            </w:r>
          </w:p>
        </w:tc>
      </w:tr>
      <w:tr>
        <w:tc>
          <w:tcPr>
            <w:tcW w:type="dxa" w:w="33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bCs/>
                <w:color w:val="282823"/>
                <w:sz w:val="19"/>
                <w:szCs w:val="19"/>
              </w:rPr>
              <w:t xml:space="preserve">Breakeven operativo</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Mes 4</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Mes 3</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Mes 3</w:t>
            </w:r>
          </w:p>
        </w:tc>
      </w:tr>
      <w:tr>
        <w:tc>
          <w:tcPr>
            <w:tcW w:type="dxa" w:w="33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bCs/>
                <w:color w:val="282823"/>
                <w:sz w:val="19"/>
                <w:szCs w:val="19"/>
              </w:rPr>
              <w:t xml:space="preserve">Capital recuperado (flujo operativo)</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Mes 8</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Mes 5</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Mes 4</w:t>
            </w:r>
          </w:p>
        </w:tc>
      </w:tr>
      <w:tr>
        <w:tc>
          <w:tcPr>
            <w:tcW w:type="dxa" w:w="33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bCs/>
                <w:color w:val="282823"/>
                <w:sz w:val="19"/>
                <w:szCs w:val="19"/>
              </w:rPr>
              <w:t xml:space="preserve">Ventas año 2 (USD)</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385.000</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539.000</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694.000</w:t>
            </w:r>
          </w:p>
        </w:tc>
      </w:tr>
      <w:tr>
        <w:tc>
          <w:tcPr>
            <w:tcW w:type="dxa" w:w="33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bCs/>
                <w:color w:val="282823"/>
                <w:sz w:val="19"/>
                <w:szCs w:val="19"/>
              </w:rPr>
              <w:t xml:space="preserve">EBITDA año 5 (USD)</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241.000</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338.000</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435.000</w:t>
            </w:r>
          </w:p>
        </w:tc>
      </w:tr>
      <w:tr>
        <w:tc>
          <w:tcPr>
            <w:tcW w:type="dxa" w:w="33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bCs/>
                <w:color w:val="282823"/>
                <w:sz w:val="19"/>
                <w:szCs w:val="19"/>
              </w:rPr>
              <w:t xml:space="preserve">Valor empresa año 5 (6x EBITDA)</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1,45 M</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2,03 M</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2,61 M</w:t>
            </w:r>
          </w:p>
        </w:tc>
      </w:tr>
      <w:tr>
        <w:tc>
          <w:tcPr>
            <w:tcW w:type="dxa" w:w="33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bCs/>
                <w:color w:val="282823"/>
                <w:sz w:val="19"/>
                <w:szCs w:val="19"/>
              </w:rPr>
              <w:t xml:space="preserve">Retorno socios (45% vs USD 184k)</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3,5x</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5,0x</w:t>
            </w:r>
          </w:p>
        </w:tc>
        <w:tc>
          <w:tcPr>
            <w:tcW w:type="dxa" w:w="2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6,4x</w:t>
            </w:r>
          </w:p>
        </w:tc>
      </w:tr>
    </w:tbl>
    <w:p>
      <w:pPr>
        <w:spacing w:after="120" w:before="0"/>
      </w:pPr>
      <w:r>
        <w:rPr>
          <w:rFonts w:ascii="Arial" w:cs="Arial" w:eastAsia="Arial" w:hAnsi="Arial"/>
          <w:color w:val="282823"/>
          <w:sz w:val="21"/>
          <w:szCs w:val="21"/>
        </w:rPr>
        <w:t xml:space="preserve"/>
      </w:r>
    </w:p>
    <w:p>
      <w:pPr>
        <w:pStyle w:val="ListParagraph"/>
        <w:numPr>
          <w:ilvl w:val="0"/>
          <w:numId w:val="2"/>
        </w:numPr>
        <w:spacing w:after="100"/>
      </w:pPr>
      <w:r>
        <w:rPr>
          <w:rFonts w:ascii="Arial" w:cs="Arial" w:eastAsia="Arial" w:hAnsi="Arial"/>
          <w:b w:val="false"/>
          <w:bCs w:val="false"/>
          <w:color w:val="282823"/>
          <w:sz w:val="21"/>
          <w:szCs w:val="21"/>
        </w:rPr>
        <w:t xml:space="preserve">Los márgenes reflejan la estructura real del rubro: costo de producto del 10-15% del PVP en suplementos, estructura 100% terciarizada sin cargas fijas pesadas, y el aporte in-kind de PGN financiando el inventario inicial. EBITDA pre-impuestos.</w:t>
      </w:r>
    </w:p>
    <w:p>
      <w:pPr>
        <w:pStyle w:val="ListParagraph"/>
        <w:numPr>
          <w:ilvl w:val="0"/>
          <w:numId w:val="2"/>
        </w:numPr>
        <w:spacing w:after="100"/>
      </w:pPr>
      <w:r>
        <w:rPr>
          <w:rFonts w:ascii="Arial" w:cs="Arial" w:eastAsia="Arial" w:hAnsi="Arial"/>
          <w:b w:val="false"/>
          <w:bCs w:val="false"/>
          <w:color w:val="282823"/>
          <w:sz w:val="21"/>
          <w:szCs w:val="21"/>
        </w:rPr>
        <w:t xml:space="preserve">Supuestos comerciales clave del caso base (todos editables y a validar con los socios): CAC USD 10 · rotación 3,5 unid/punto/mes · 220 puntos de venta al mes 12 · crecimiento orgánico 3%/mes.</w:t>
      </w:r>
    </w:p>
    <w:p>
      <w:pPr>
        <w:pStyle w:val="ListParagraph"/>
        <w:numPr>
          <w:ilvl w:val="0"/>
          <w:numId w:val="2"/>
        </w:numPr>
        <w:spacing w:after="100"/>
      </w:pPr>
      <w:r>
        <w:rPr>
          <w:rFonts w:ascii="Arial" w:cs="Arial" w:eastAsia="Arial" w:hAnsi="Arial"/>
          <w:b w:val="false"/>
          <w:bCs w:val="false"/>
          <w:color w:val="282823"/>
          <w:sz w:val="21"/>
          <w:szCs w:val="21"/>
        </w:rPr>
        <w:t xml:space="preserve">Calibración con datos propios: AOV, recompra, frecuencia y base orgánica salen del histórico real de la marca (sección 2), no de benchmarks.</w:t>
      </w:r>
    </w:p>
    <w:p>
      <w:pPr>
        <w:spacing w:after="200" w:before="0"/>
      </w:pPr>
      <w:r>
        <w:rPr>
          <w:rFonts w:ascii="Arial" w:cs="Arial" w:eastAsia="Arial" w:hAnsi="Arial"/>
          <w:i/>
          <w:iCs/>
          <w:color w:val="666666"/>
          <w:sz w:val="18"/>
          <w:szCs w:val="18"/>
        </w:rPr>
        <w:t xml:space="preserve">Los objetivos de retorno de referencia acordados para la conversación societaria: conservador 3x a 5 años, intermedio 5x, optimista 10x. El caso base entrega el intermedio; el piso supera el conservador.</w:t>
      </w:r>
    </w:p>
    <w:p>
      <w:pPr>
        <w:pStyle w:val="Heading1"/>
        <w:spacing w:after="200" w:before="360"/>
      </w:pPr>
      <w:r>
        <w:rPr>
          <w:rFonts w:ascii="Arial" w:cs="Arial" w:eastAsia="Arial" w:hAnsi="Arial"/>
          <w:b/>
          <w:bCs/>
          <w:color w:val="4B6834"/>
          <w:sz w:val="27"/>
          <w:szCs w:val="27"/>
        </w:rPr>
        <w:t xml:space="preserve">9. Estructura societaria y gobernanza</w:t>
      </w:r>
    </w:p>
    <w:p>
      <w:pPr>
        <w:pStyle w:val="Heading2"/>
        <w:spacing w:after="140" w:before="240"/>
      </w:pPr>
      <w:r>
        <w:rPr>
          <w:rFonts w:ascii="Arial" w:cs="Arial" w:eastAsia="Arial" w:hAnsi="Arial"/>
          <w:b/>
          <w:bCs/>
          <w:color w:val="282823"/>
          <w:sz w:val="22"/>
          <w:szCs w:val="22"/>
        </w:rPr>
        <w:t xml:space="preserve">El vehículo</w:t>
      </w:r>
    </w:p>
    <w:p>
      <w:pPr>
        <w:pStyle w:val="ListParagraph"/>
        <w:numPr>
          <w:ilvl w:val="0"/>
          <w:numId w:val="2"/>
        </w:numPr>
        <w:spacing w:after="100"/>
      </w:pPr>
      <w:r>
        <w:rPr>
          <w:rFonts w:ascii="Arial" w:cs="Arial" w:eastAsia="Arial" w:hAnsi="Arial"/>
          <w:b w:val="false"/>
          <w:bCs w:val="false"/>
          <w:color w:val="282823"/>
          <w:sz w:val="21"/>
          <w:szCs w:val="21"/>
        </w:rPr>
        <w:t xml:space="preserve">Sociedad nueva (SAS) sin pasivos ni historia: los socios entran a una estructura limpia.</w:t>
      </w:r>
    </w:p>
    <w:p>
      <w:pPr>
        <w:pStyle w:val="ListParagraph"/>
        <w:numPr>
          <w:ilvl w:val="0"/>
          <w:numId w:val="2"/>
        </w:numPr>
        <w:spacing w:after="100"/>
      </w:pPr>
      <w:r>
        <w:rPr>
          <w:rFonts w:ascii="Arial" w:cs="Arial" w:eastAsia="Arial" w:hAnsi="Arial"/>
          <w:b w:val="false"/>
          <w:bCs w:val="false"/>
          <w:color w:val="282823"/>
          <w:sz w:val="21"/>
          <w:szCs w:val="21"/>
        </w:rPr>
        <w:t xml:space="preserve">Las marcas Smart Foods se incorporan a la NewCo. SMART COFFEE opera bajo licencia exclusiva de largo plazo.</w:t>
      </w:r>
    </w:p>
    <w:p>
      <w:pPr>
        <w:pStyle w:val="ListParagraph"/>
        <w:numPr>
          <w:ilvl w:val="0"/>
          <w:numId w:val="2"/>
        </w:numPr>
        <w:spacing w:after="100"/>
      </w:pPr>
      <w:r>
        <w:rPr>
          <w:rFonts w:ascii="Arial" w:cs="Arial" w:eastAsia="Arial" w:hAnsi="Arial"/>
          <w:b w:val="false"/>
          <w:bCs w:val="false"/>
          <w:color w:val="282823"/>
          <w:sz w:val="21"/>
          <w:szCs w:val="21"/>
        </w:rPr>
        <w:t xml:space="preserve">Misión en los estatutos: estándares de claims 100% ANMAT, compromiso 1% for the Planet, camino B Corp.</w:t>
      </w:r>
    </w:p>
    <w:p>
      <w:pPr>
        <w:pStyle w:val="Heading2"/>
        <w:spacing w:after="140" w:before="240"/>
      </w:pPr>
      <w:r>
        <w:rPr>
          <w:rFonts w:ascii="Arial" w:cs="Arial" w:eastAsia="Arial" w:hAnsi="Arial"/>
          <w:b/>
          <w:bCs/>
          <w:color w:val="282823"/>
          <w:sz w:val="22"/>
          <w:szCs w:val="22"/>
        </w:rPr>
        <w:t xml:space="preserve">Cap table propuesto (apertura, a ajustar en term sheet)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4100"/>
      </w:tblGrid>
      <w:tr>
        <w:trPr>
          <w:tblHeader/>
        </w:trPr>
        <w:tc>
          <w:tcPr>
            <w:tcW w:type="dxa" w:w="34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left"/>
            </w:pPr>
            <w:r>
              <w:rPr>
                <w:rFonts w:ascii="Arial" w:cs="Arial" w:eastAsia="Arial" w:hAnsi="Arial"/>
                <w:b/>
                <w:bCs/>
                <w:color w:val="282823"/>
                <w:sz w:val="19"/>
                <w:szCs w:val="19"/>
              </w:rPr>
              <w:t xml:space="preserve">Socio</w:t>
            </w:r>
          </w:p>
        </w:tc>
        <w:tc>
          <w:tcPr>
            <w:tcW w:type="dxa" w:w="19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center"/>
            </w:pPr>
            <w:r>
              <w:rPr>
                <w:rFonts w:ascii="Arial" w:cs="Arial" w:eastAsia="Arial" w:hAnsi="Arial"/>
                <w:b/>
                <w:bCs/>
                <w:color w:val="282823"/>
                <w:sz w:val="19"/>
                <w:szCs w:val="19"/>
              </w:rPr>
              <w:t xml:space="preserve">Equity ref.</w:t>
            </w:r>
          </w:p>
        </w:tc>
        <w:tc>
          <w:tcPr>
            <w:tcW w:type="dxa" w:w="41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center"/>
            </w:pPr>
            <w:r>
              <w:rPr>
                <w:rFonts w:ascii="Arial" w:cs="Arial" w:eastAsia="Arial" w:hAnsi="Arial"/>
                <w:b/>
                <w:bCs/>
                <w:color w:val="282823"/>
                <w:sz w:val="19"/>
                <w:szCs w:val="19"/>
              </w:rPr>
              <w:t xml:space="preserve">Contra qué</w:t>
            </w:r>
          </w:p>
        </w:tc>
      </w:tr>
      <w:tr>
        <w:tc>
          <w:tcPr>
            <w:tcW w:type="dxa" w:w="3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Fundador</w:t>
            </w:r>
          </w:p>
        </w:tc>
        <w:tc>
          <w:tcPr>
            <w:tcW w:type="dxa" w:w="19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52-55%</w:t>
            </w:r>
          </w:p>
        </w:tc>
        <w:tc>
          <w:tcPr>
            <w:tcW w:type="dxa" w:w="4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Marcas, registros, comunidad, datos, operación full-time</w:t>
            </w:r>
          </w:p>
        </w:tc>
      </w:tr>
      <w:tr>
        <w:tc>
          <w:tcPr>
            <w:tcW w:type="dxa" w:w="3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PGN</w:t>
            </w:r>
          </w:p>
        </w:tc>
        <w:tc>
          <w:tcPr>
            <w:tcW w:type="dxa" w:w="19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~15%</w:t>
            </w:r>
          </w:p>
        </w:tc>
        <w:tc>
          <w:tcPr>
            <w:tcW w:type="dxa" w:w="4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USD 67.000 in-kind a costo, equity contra entrega efectiva</w:t>
            </w:r>
          </w:p>
        </w:tc>
      </w:tr>
      <w:tr>
        <w:tc>
          <w:tcPr>
            <w:tcW w:type="dxa" w:w="3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Dispropharma</w:t>
            </w:r>
          </w:p>
        </w:tc>
        <w:tc>
          <w:tcPr>
            <w:tcW w:type="dxa" w:w="19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~13%</w:t>
            </w:r>
          </w:p>
        </w:tc>
        <w:tc>
          <w:tcPr>
            <w:tcW w:type="dxa" w:w="4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USD 60.000 cash</w:t>
            </w:r>
          </w:p>
        </w:tc>
      </w:tr>
      <w:tr>
        <w:tc>
          <w:tcPr>
            <w:tcW w:type="dxa" w:w="3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Inversor capital</w:t>
            </w:r>
          </w:p>
        </w:tc>
        <w:tc>
          <w:tcPr>
            <w:tcW w:type="dxa" w:w="19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~12%</w:t>
            </w:r>
          </w:p>
        </w:tc>
        <w:tc>
          <w:tcPr>
            <w:tcW w:type="dxa" w:w="4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USD 57.000 cash — mismo precio por acción que el resto del cash</w:t>
            </w:r>
          </w:p>
        </w:tc>
      </w:tr>
      <w:tr>
        <w:tc>
          <w:tcPr>
            <w:tcW w:type="dxa" w:w="3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Pool equipo futuro</w:t>
            </w:r>
          </w:p>
        </w:tc>
        <w:tc>
          <w:tcPr>
            <w:tcW w:type="dxa" w:w="19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5%</w:t>
            </w:r>
          </w:p>
        </w:tc>
        <w:tc>
          <w:tcPr>
            <w:tcW w:type="dxa" w:w="41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Talento clave de la ejecución</w:t>
            </w:r>
          </w:p>
        </w:tc>
      </w:tr>
    </w:tbl>
    <w:p>
      <w:pPr>
        <w:spacing w:after="120" w:before="0"/>
      </w:pPr>
      <w:r>
        <w:rPr>
          <w:rFonts w:ascii="Arial" w:cs="Arial" w:eastAsia="Arial" w:hAnsi="Arial"/>
          <w:color w:val="282823"/>
          <w:sz w:val="21"/>
          <w:szCs w:val="21"/>
        </w:rPr>
        <w:t xml:space="preserve"/>
      </w:r>
    </w:p>
    <w:p>
      <w:pPr>
        <w:pStyle w:val="Heading2"/>
        <w:spacing w:after="140" w:before="240"/>
      </w:pPr>
      <w:r>
        <w:rPr>
          <w:rFonts w:ascii="Arial" w:cs="Arial" w:eastAsia="Arial" w:hAnsi="Arial"/>
          <w:b/>
          <w:bCs/>
          <w:color w:val="282823"/>
          <w:sz w:val="22"/>
          <w:szCs w:val="22"/>
        </w:rPr>
        <w:t xml:space="preserve">Reglas de gobernanza (las que evitan los conflictos típicos)</w:t>
      </w:r>
    </w:p>
    <w:p>
      <w:pPr>
        <w:pStyle w:val="ListParagraph"/>
        <w:numPr>
          <w:ilvl w:val="0"/>
          <w:numId w:val="2"/>
        </w:numPr>
        <w:spacing w:after="100"/>
      </w:pPr>
      <w:r>
        <w:rPr>
          <w:rFonts w:ascii="Arial" w:cs="Arial" w:eastAsia="Arial" w:hAnsi="Arial"/>
          <w:b w:val="false"/>
          <w:bCs w:val="false"/>
          <w:color w:val="282823"/>
          <w:sz w:val="21"/>
          <w:szCs w:val="21"/>
        </w:rPr>
        <w:t xml:space="preserve">Función financiera independiente: contabilidad, tesorería y reporting a cargo de un CFO/administración fraccional que reporta al directorio — nunca a cargo de un socio que además es contraparte comercial.</w:t>
      </w:r>
    </w:p>
    <w:p>
      <w:pPr>
        <w:pStyle w:val="ListParagraph"/>
        <w:numPr>
          <w:ilvl w:val="0"/>
          <w:numId w:val="2"/>
        </w:numPr>
        <w:spacing w:after="100"/>
      </w:pPr>
      <w:r>
        <w:rPr>
          <w:rFonts w:ascii="Arial" w:cs="Arial" w:eastAsia="Arial" w:hAnsi="Arial"/>
          <w:b w:val="false"/>
          <w:bCs w:val="false"/>
          <w:color w:val="282823"/>
          <w:sz w:val="21"/>
          <w:szCs w:val="21"/>
        </w:rPr>
        <w:t xml:space="preserve">Transacciones con partes relacionadas (fabricación PGN, distribución Dispropharma) documentadas a precio verificable y aprobadas sin el voto del interesado.</w:t>
      </w:r>
    </w:p>
    <w:p>
      <w:pPr>
        <w:pStyle w:val="ListParagraph"/>
        <w:numPr>
          <w:ilvl w:val="0"/>
          <w:numId w:val="2"/>
        </w:numPr>
        <w:spacing w:after="100"/>
      </w:pPr>
      <w:r>
        <w:rPr>
          <w:rFonts w:ascii="Arial" w:cs="Arial" w:eastAsia="Arial" w:hAnsi="Arial"/>
          <w:b w:val="false"/>
          <w:bCs w:val="false"/>
          <w:color w:val="282823"/>
          <w:sz w:val="21"/>
          <w:szCs w:val="21"/>
        </w:rPr>
        <w:t xml:space="preserve">Fabricación y distribución = contratos comerciales con niveles de servicio, separados del pacto de socios. Exclusividades condicionadas a cumplimiento de objetivos.</w:t>
      </w:r>
    </w:p>
    <w:p>
      <w:pPr>
        <w:pStyle w:val="ListParagraph"/>
        <w:numPr>
          <w:ilvl w:val="0"/>
          <w:numId w:val="2"/>
        </w:numPr>
        <w:spacing w:after="100"/>
      </w:pPr>
      <w:r>
        <w:rPr>
          <w:rFonts w:ascii="Arial" w:cs="Arial" w:eastAsia="Arial" w:hAnsi="Arial"/>
          <w:b w:val="false"/>
          <w:bCs w:val="false"/>
          <w:color w:val="282823"/>
          <w:sz w:val="21"/>
          <w:szCs w:val="21"/>
        </w:rPr>
        <w:t xml:space="preserve">Materias reservadas con mayoría calificada: venta de la empresa, emisión de acciones, endeudamiento relevante, licencias de marca, remuneraciones.</w:t>
      </w:r>
    </w:p>
    <w:p>
      <w:pPr>
        <w:pStyle w:val="ListParagraph"/>
        <w:numPr>
          <w:ilvl w:val="0"/>
          <w:numId w:val="2"/>
        </w:numPr>
        <w:spacing w:after="100"/>
      </w:pPr>
      <w:r>
        <w:rPr>
          <w:rFonts w:ascii="Arial" w:cs="Arial" w:eastAsia="Arial" w:hAnsi="Arial"/>
          <w:b w:val="false"/>
          <w:bCs w:val="false"/>
          <w:color w:val="282823"/>
          <w:sz w:val="21"/>
          <w:szCs w:val="21"/>
        </w:rPr>
        <w:t xml:space="preserve">Equity contra aporte efectivo (vesting por entrega para in-kind; vesting de fundador incluido). Tag-along para todos los socios. Derecho de información trimestral y auditoría anual a pedido de cualquier socio.</w:t>
      </w:r>
    </w:p>
    <w:p>
      <w:pPr>
        <w:pStyle w:val="Heading2"/>
        <w:spacing w:after="140" w:before="240"/>
      </w:pPr>
      <w:r>
        <w:rPr>
          <w:rFonts w:ascii="Arial" w:cs="Arial" w:eastAsia="Arial" w:hAnsi="Arial"/>
          <w:b/>
          <w:bCs/>
          <w:color w:val="282823"/>
          <w:sz w:val="22"/>
          <w:szCs w:val="22"/>
        </w:rPr>
        <w:t xml:space="preserve">El pedido a cada socio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left"/>
            </w:pPr>
            <w:r>
              <w:rPr>
                <w:rFonts w:ascii="Arial" w:cs="Arial" w:eastAsia="Arial" w:hAnsi="Arial"/>
                <w:b/>
                <w:bCs/>
                <w:color w:val="282823"/>
                <w:sz w:val="19"/>
                <w:szCs w:val="19"/>
              </w:rPr>
              <w:t xml:space="preserve">Actor</w:t>
            </w:r>
          </w:p>
        </w:tc>
        <w:tc>
          <w:tcPr>
            <w:tcW w:type="dxa" w:w="70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center"/>
            </w:pPr>
            <w:r>
              <w:rPr>
                <w:rFonts w:ascii="Arial" w:cs="Arial" w:eastAsia="Arial" w:hAnsi="Arial"/>
                <w:b/>
                <w:bCs/>
                <w:color w:val="282823"/>
                <w:sz w:val="19"/>
                <w:szCs w:val="19"/>
              </w:rPr>
              <w:t xml:space="preserve">Ask</w:t>
            </w:r>
          </w:p>
        </w:tc>
      </w:tr>
      <w:tr>
        <w:tc>
          <w:tcPr>
            <w:tcW w:type="dxa" w:w="2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PGN</w:t>
            </w:r>
          </w:p>
        </w:tc>
        <w:tc>
          <w:tcPr>
            <w:tcW w:type="dxa" w:w="70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Confirmar rol de socio industrial de largo plazo. Cotización firmada por SKU (costo, MOQ, lead time). USD 67.000 in-kind a costo contra ~15% con equity por entrega + contrato de fabricación con SLA y titularidad NewCo de los RNPA.</w:t>
            </w:r>
          </w:p>
        </w:tc>
      </w:tr>
      <w:tr>
        <w:tc>
          <w:tcPr>
            <w:tcW w:type="dxa" w:w="2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Dispropharma</w:t>
            </w:r>
          </w:p>
        </w:tc>
        <w:tc>
          <w:tcPr>
            <w:tcW w:type="dxa" w:w="70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USD 60.000 (dos tramos) contra ~13% + contrato de distribución con objetivos de cobertura y sell-out, compra en firme, cobro a 60 días. Exclusividad de canal condicionada a performance.</w:t>
            </w:r>
          </w:p>
        </w:tc>
      </w:tr>
      <w:tr>
        <w:tc>
          <w:tcPr>
            <w:tcW w:type="dxa" w:w="2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Inversor capital</w:t>
            </w:r>
          </w:p>
        </w:tc>
        <w:tc>
          <w:tcPr>
            <w:tcW w:type="dxa" w:w="70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USD 57.000 (dos tramos) contra ~12%, mismo precio por acción que el resto del cash de la ronda, tag-along e información trimestral.</w:t>
            </w:r>
          </w:p>
        </w:tc>
      </w:tr>
    </w:tbl>
    <w:p>
      <w:pPr>
        <w:pStyle w:val="Heading1"/>
        <w:spacing w:after="200" w:before="360"/>
      </w:pPr>
      <w:r>
        <w:rPr>
          <w:rFonts w:ascii="Arial" w:cs="Arial" w:eastAsia="Arial" w:hAnsi="Arial"/>
          <w:b/>
          <w:bCs/>
          <w:color w:val="4B6834"/>
          <w:sz w:val="27"/>
          <w:szCs w:val="27"/>
        </w:rPr>
        <w:t xml:space="preserve">10. Riesgos y mitigaciones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left"/>
            </w:pPr>
            <w:r>
              <w:rPr>
                <w:rFonts w:ascii="Arial" w:cs="Arial" w:eastAsia="Arial" w:hAnsi="Arial"/>
                <w:b/>
                <w:bCs/>
                <w:color w:val="282823"/>
                <w:sz w:val="19"/>
                <w:szCs w:val="19"/>
              </w:rPr>
              <w:t xml:space="preserve">Riesgo</w:t>
            </w:r>
          </w:p>
        </w:tc>
        <w:tc>
          <w:tcPr>
            <w:tcW w:type="dxa" w:w="60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center"/>
            </w:pPr>
            <w:r>
              <w:rPr>
                <w:rFonts w:ascii="Arial" w:cs="Arial" w:eastAsia="Arial" w:hAnsi="Arial"/>
                <w:b/>
                <w:bCs/>
                <w:color w:val="282823"/>
                <w:sz w:val="19"/>
                <w:szCs w:val="19"/>
              </w:rPr>
              <w:t xml:space="preserve">Mitigación</w:t>
            </w:r>
          </w:p>
        </w:tc>
      </w:tr>
      <w:tr>
        <w:tc>
          <w:tcPr>
            <w:tcW w:type="dxa" w:w="3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Ejecución comercial por debajo del plan</w:t>
            </w:r>
          </w:p>
        </w:tc>
        <w:tc>
          <w:tcPr>
            <w:tcW w:type="dxa" w:w="60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Desembolso por tramos con objetivos verificables; criterios de freno pactados; escenario piso igual recupera el capital (mes 8).</w:t>
            </w:r>
          </w:p>
        </w:tc>
      </w:tr>
      <w:tr>
        <w:tc>
          <w:tcPr>
            <w:tcW w:type="dxa" w:w="3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Dependencia del canal distribuidor</w:t>
            </w:r>
          </w:p>
        </w:tc>
        <w:tc>
          <w:tcPr>
            <w:tcW w:type="dxa" w:w="60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D2C propio con margen 85% como contrapeso permanente; exclusividad condicionada a objetivos.</w:t>
            </w:r>
          </w:p>
        </w:tc>
      </w:tr>
      <w:tr>
        <w:tc>
          <w:tcPr>
            <w:tcW w:type="dxa" w:w="3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Dependencia del socio industrial</w:t>
            </w:r>
          </w:p>
        </w:tc>
        <w:tc>
          <w:tcPr>
            <w:tcW w:type="dxa" w:w="60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Contrato de fabricación con SLA y benchmark de precio; RNPA a nombre de la NewCo; derecho a fabricar con terceros ante incumplimiento.</w:t>
            </w:r>
          </w:p>
        </w:tc>
      </w:tr>
      <w:tr>
        <w:tc>
          <w:tcPr>
            <w:tcW w:type="dxa" w:w="3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Working capital por cobro a 60 días</w:t>
            </w:r>
          </w:p>
        </w:tc>
        <w:tc>
          <w:tcPr>
            <w:tcW w:type="dxa" w:w="60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Buffer de inventario y caja mínima monitoreada en el modelo; caja nunca negativa en los tres escenarios con Tramo 1.</w:t>
            </w:r>
          </w:p>
        </w:tc>
      </w:tr>
      <w:tr>
        <w:tc>
          <w:tcPr>
            <w:tcW w:type="dxa" w:w="3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Dependencia del fundador (key-man)</w:t>
            </w:r>
          </w:p>
        </w:tc>
        <w:tc>
          <w:tcPr>
            <w:tcW w:type="dxa" w:w="60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Vesting de fundador; operación documentada y terciarizada; gobernanza que no depende de una persona.</w:t>
            </w:r>
          </w:p>
        </w:tc>
      </w:tr>
      <w:tr>
        <w:tc>
          <w:tcPr>
            <w:tcW w:type="dxa" w:w="3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Regulatorio</w:t>
            </w:r>
          </w:p>
        </w:tc>
        <w:tc>
          <w:tcPr>
            <w:tcW w:type="dxa" w:w="60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PGN aporta 30 años de experiencia ANMAT; naming y claims diseñados dentro del marco desde el día 0.</w:t>
            </w:r>
          </w:p>
        </w:tc>
      </w:tr>
      <w:tr>
        <w:tc>
          <w:tcPr>
            <w:tcW w:type="dxa" w:w="3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Macro / tipo de cambio</w:t>
            </w:r>
          </w:p>
        </w:tc>
        <w:tc>
          <w:tcPr>
            <w:tcW w:type="dxa" w:w="60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Precios definidos en USD con ajuste por TC; costos mayormente variables y dolarizados al mismo TC.</w:t>
            </w:r>
          </w:p>
        </w:tc>
      </w:tr>
    </w:tbl>
    <w:p>
      <w:pPr>
        <w:pStyle w:val="Heading1"/>
        <w:spacing w:after="200" w:before="360"/>
      </w:pPr>
      <w:r>
        <w:rPr>
          <w:rFonts w:ascii="Arial" w:cs="Arial" w:eastAsia="Arial" w:hAnsi="Arial"/>
          <w:b/>
          <w:bCs/>
          <w:color w:val="4B6834"/>
          <w:sz w:val="27"/>
          <w:szCs w:val="27"/>
        </w:rPr>
        <w:t xml:space="preserve">11. Hoja de ruta y próximos pasos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900"/>
      </w:tblGrid>
      <w:tr>
        <w:trPr>
          <w:tblHeader/>
        </w:trPr>
        <w:tc>
          <w:tcPr>
            <w:tcW w:type="dxa" w:w="22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left"/>
            </w:pPr>
            <w:r>
              <w:rPr>
                <w:rFonts w:ascii="Arial" w:cs="Arial" w:eastAsia="Arial" w:hAnsi="Arial"/>
                <w:b/>
                <w:bCs/>
                <w:color w:val="282823"/>
                <w:sz w:val="19"/>
                <w:szCs w:val="19"/>
              </w:rPr>
              <w:t xml:space="preserve">Fase</w:t>
            </w:r>
          </w:p>
        </w:tc>
        <w:tc>
          <w:tcPr>
            <w:tcW w:type="dxa" w:w="24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center"/>
            </w:pPr>
            <w:r>
              <w:rPr>
                <w:rFonts w:ascii="Arial" w:cs="Arial" w:eastAsia="Arial" w:hAnsi="Arial"/>
                <w:b/>
                <w:bCs/>
                <w:color w:val="282823"/>
                <w:sz w:val="19"/>
                <w:szCs w:val="19"/>
              </w:rPr>
              <w:t xml:space="preserve">Meses</w:t>
            </w:r>
          </w:p>
        </w:tc>
        <w:tc>
          <w:tcPr>
            <w:tcW w:type="dxa" w:w="4900"/>
            <w:tcBorders>
              <w:top w:val="single" w:color="DDDDDD" w:sz="4"/>
              <w:left w:val="single" w:color="DDDDDD" w:sz="4"/>
              <w:bottom w:val="single" w:color="DDDDDD" w:sz="4"/>
              <w:right w:val="single" w:color="DDDDDD" w:sz="4"/>
            </w:tcBorders>
            <w:shd w:fill="F1EADF" w:val="clear"/>
            <w:tcMar>
              <w:top w:type="dxa" w:w="70"/>
              <w:left w:type="dxa" w:w="100"/>
              <w:bottom w:type="dxa" w:w="70"/>
              <w:right w:type="dxa" w:w="100"/>
            </w:tcMar>
          </w:tcPr>
          <w:p>
            <w:pPr>
              <w:spacing w:after="0"/>
              <w:jc w:val="center"/>
            </w:pPr>
            <w:r>
              <w:rPr>
                <w:rFonts w:ascii="Arial" w:cs="Arial" w:eastAsia="Arial" w:hAnsi="Arial"/>
                <w:b/>
                <w:bCs/>
                <w:color w:val="282823"/>
                <w:sz w:val="19"/>
                <w:szCs w:val="19"/>
              </w:rPr>
              <w:t xml:space="preserve">Hitos</w:t>
            </w:r>
          </w:p>
        </w:tc>
      </w:tr>
      <w:tr>
        <w:tc>
          <w:tcPr>
            <w:tcW w:type="dxa" w:w="22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0 — Fundaciones</w:t>
            </w:r>
          </w:p>
        </w:tc>
        <w:tc>
          <w:tcPr>
            <w:tcW w:type="dxa" w:w="2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Ago-Sep 2026</w:t>
            </w:r>
          </w:p>
        </w:tc>
        <w:tc>
          <w:tcPr>
            <w:tcW w:type="dxa" w:w="49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Cierre societario, contratos PGN y Dispropharma, RNPA en trámite, rebrand</w:t>
            </w:r>
          </w:p>
        </w:tc>
      </w:tr>
      <w:tr>
        <w:tc>
          <w:tcPr>
            <w:tcW w:type="dxa" w:w="22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1 — Relanzamiento</w:t>
            </w:r>
          </w:p>
        </w:tc>
        <w:tc>
          <w:tcPr>
            <w:tcW w:type="dxa" w:w="2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Meses 1-3</w:t>
            </w:r>
          </w:p>
        </w:tc>
        <w:tc>
          <w:tcPr>
            <w:tcW w:type="dxa" w:w="49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SMART COFFEE + 3 cápsulas adaptógenos; D2C encendido; primeros 40-100 puntos</w:t>
            </w:r>
          </w:p>
        </w:tc>
      </w:tr>
      <w:tr>
        <w:tc>
          <w:tcPr>
            <w:tcW w:type="dxa" w:w="22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2 — Expansión</w:t>
            </w:r>
          </w:p>
        </w:tc>
        <w:tc>
          <w:tcPr>
            <w:tcW w:type="dxa" w:w="2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Meses 4-6</w:t>
            </w:r>
          </w:p>
        </w:tc>
        <w:tc>
          <w:tcPr>
            <w:tcW w:type="dxa" w:w="49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Greens + creatina; evaluación de objetivos para Tramo 2</w:t>
            </w:r>
          </w:p>
        </w:tc>
      </w:tr>
      <w:tr>
        <w:tc>
          <w:tcPr>
            <w:tcW w:type="dxa" w:w="22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3 — Línea +40</w:t>
            </w:r>
          </w:p>
        </w:tc>
        <w:tc>
          <w:tcPr>
            <w:tcW w:type="dxa" w:w="2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Meses 7-9</w:t>
            </w:r>
          </w:p>
        </w:tc>
        <w:tc>
          <w:tcPr>
            <w:tcW w:type="dxa" w:w="49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Healthy Aging +40 y bundle con creatina</w:t>
            </w:r>
          </w:p>
        </w:tc>
      </w:tr>
      <w:tr>
        <w:tc>
          <w:tcPr>
            <w:tcW w:type="dxa" w:w="22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left"/>
            </w:pPr>
            <w:r>
              <w:rPr>
                <w:rFonts w:ascii="Arial" w:cs="Arial" w:eastAsia="Arial" w:hAnsi="Arial"/>
                <w:b w:val="false"/>
                <w:bCs w:val="false"/>
                <w:color w:val="282823"/>
                <w:sz w:val="19"/>
                <w:szCs w:val="19"/>
              </w:rPr>
              <w:t xml:space="preserve">Continuo</w:t>
            </w:r>
          </w:p>
        </w:tc>
        <w:tc>
          <w:tcPr>
            <w:tcW w:type="dxa" w:w="24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Meses 9-12</w:t>
            </w:r>
          </w:p>
        </w:tc>
        <w:tc>
          <w:tcPr>
            <w:tcW w:type="dxa" w:w="49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after="0"/>
              <w:jc w:val="center"/>
            </w:pPr>
            <w:r>
              <w:rPr>
                <w:rFonts w:ascii="Arial" w:cs="Arial" w:eastAsia="Arial" w:hAnsi="Arial"/>
                <w:b w:val="false"/>
                <w:bCs w:val="false"/>
                <w:color w:val="282823"/>
                <w:sz w:val="19"/>
                <w:szCs w:val="19"/>
              </w:rPr>
              <w:t xml:space="preserve">Reposiciones, suscripción, ampliación de cobertura</w:t>
            </w:r>
          </w:p>
        </w:tc>
      </w:tr>
    </w:tbl>
    <w:p>
      <w:pPr>
        <w:spacing w:after="120" w:before="0"/>
      </w:pPr>
      <w:r>
        <w:rPr>
          <w:rFonts w:ascii="Arial" w:cs="Arial" w:eastAsia="Arial" w:hAnsi="Arial"/>
          <w:color w:val="282823"/>
          <w:sz w:val="21"/>
          <w:szCs w:val="21"/>
        </w:rPr>
        <w:t xml:space="preserve"/>
      </w:r>
    </w:p>
    <w:p>
      <w:pPr>
        <w:spacing w:after="300" w:before="0"/>
      </w:pPr>
      <w:r>
        <w:rPr>
          <w:rFonts w:ascii="Arial" w:cs="Arial" w:eastAsia="Arial" w:hAnsi="Arial"/>
          <w:color w:val="282823"/>
          <w:sz w:val="21"/>
          <w:szCs w:val="21"/>
        </w:rPr>
        <w:t xml:space="preserve">Próximos pasos inmediatos: (1) cotización de PGN por SKU — convierte el 36% del presupuesto de supuesto a dato; (2) cuantificación de cobertura con Dispropharma — puntos de venta y carga inicial; (3) term sheet marco no vinculante con los tres actores; (4) constitución de la NewCo y contratos comerciales; (5) arranque de fase 0 (target: septiembre 2026).</w:t>
      </w:r>
    </w:p>
    <w:p>
      <w:pPr>
        <w:spacing w:after="200" w:before="0"/>
      </w:pPr>
      <w:r>
        <w:rPr>
          <w:rFonts w:ascii="Arial" w:cs="Arial" w:eastAsia="Arial" w:hAnsi="Arial"/>
          <w:i/>
          <w:iCs/>
          <w:color w:val="666666"/>
          <w:sz w:val="18"/>
          <w:szCs w:val="18"/>
        </w:rPr>
        <w:t xml:space="preserve">Anexo: modelo financiero editable (planilla) con los dos motores, P&amp;L y caja mensual a 24 meses, proyección a 5 años y análisis de escenarios. Este memo y su anexo son confidenciales y no constituyen oferta pública ni compromiso vinculante.</w:t>
      </w:r>
    </w:p>
    <w:sectPr>
      <w:footerReference w:type="default" r:id="rId7"/>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Smart Foods — Memo de Inversión · Confidencial ·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828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2026-07-19T21:47:07.426Z</dcterms:created>
  <dcterms:modified xsi:type="dcterms:W3CDTF">2026-07-19T21:47:07.427Z</dcterms:modified>
</cp:coreProperties>
</file>

<file path=docProps/custom.xml><?xml version="1.0" encoding="utf-8"?>
<Properties xmlns="http://schemas.openxmlformats.org/officeDocument/2006/custom-properties" xmlns:vt="http://schemas.openxmlformats.org/officeDocument/2006/docPropsVTypes"/>
</file>