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8"/>
      </w:tblGrid>
      <w:tr>
        <w:tc>
          <w:tcPr>
            <w:tcW w:type="dxa" w:w="9978"/>
            <w:shd w:fill="25265E" w:val="clear"/>
            <w:tcMar>
              <w:top w:w="520" w:type="dxa"/>
              <w:start w:w="360" w:type="dxa"/>
              <w:bottom w:w="520" w:type="dxa"/>
              <w:end w:w="360" w:type="dxa"/>
            </w:tcMar>
            <w:tcBorders>
              <w:top w:val="nil"/>
              <w:left w:val="nil"/>
              <w:bottom w:val="nil"/>
              <w:right w:val="nil"/>
            </w:tcBorders>
          </w:tcPr>
          <w:p>
            <w:pPr>
              <w:jc w:val="left"/>
            </w:pPr>
            <w:r>
              <w:rPr>
                <w:rFonts w:ascii="Inter Display" w:hAnsi="Inter Display"/>
                <w:b/>
                <w:color w:val="CFCBFF"/>
                <w:sz w:val="24"/>
              </w:rPr>
              <w:t>COVERVIEW</w:t>
            </w:r>
          </w:p>
          <w:p>
            <w:pPr>
              <w:spacing w:before="240" w:after="200"/>
            </w:pPr>
            <w:r>
              <w:rPr>
                <w:rFonts w:ascii="Inter Display" w:hAnsi="Inter Display"/>
                <w:b/>
                <w:color w:val="FFFFFF"/>
                <w:sz w:val="62"/>
              </w:rPr>
              <w:t>Bible produit</w:t>
              <w:br/>
              <w:t>et plateforme</w:t>
            </w:r>
          </w:p>
          <w:p>
            <w:pPr>
              <w:spacing w:after="0"/>
            </w:pPr>
            <w:r>
              <w:rPr>
                <w:rFonts w:ascii="Inter" w:hAnsi="Inter"/>
                <w:color w:val="E7E8FF"/>
                <w:sz w:val="25"/>
              </w:rPr>
              <w:t>Vision, écosystème, données, automatisations, parcours 3P, CoverView Retire, assistance et fidélité</w:t>
            </w:r>
          </w:p>
        </w:tc>
      </w:tr>
    </w:tbl>
    <w:p>
      <w:pPr>
        <w:spacing w:before="400" w:after="80"/>
      </w:pPr>
      <w:r>
        <w:rPr>
          <w:rFonts w:ascii="Inter Display" w:hAnsi="Inter Display"/>
          <w:b/>
          <w:color w:val="6D4AFF"/>
          <w:sz w:val="18"/>
        </w:rPr>
        <w:t>DOCUMENT INTERNE DE RÉFÉRENCE</w:t>
      </w:r>
    </w:p>
    <w:tbl>
      <w:tblPr>
        <w:tblW w:type="auto" w:w="0"/>
        <w:jc w:val="left"/>
        <w:tblLayout w:type="fixed"/>
        <w:tblLook w:firstColumn="1" w:firstRow="1" w:lastColumn="0" w:lastRow="0" w:noHBand="0" w:noVBand="1" w:val="04A0"/>
      </w:tblPr>
      <w:tblGrid>
        <w:gridCol w:w="4989"/>
        <w:gridCol w:w="4989"/>
      </w:tblGrid>
      <w:tr>
        <w:trPr>
          <w:tblHeader/>
        </w:trPr>
        <w:tc>
          <w:tcPr>
            <w:tcW w:type="dxa" w:w="1701"/>
            <w:tcMar>
              <w:top w:w="70" w:type="dxa"/>
              <w:start w:w="80" w:type="dxa"/>
              <w:bottom w:w="70" w:type="dxa"/>
              <w:end w:w="80" w:type="dxa"/>
            </w:tcMar>
            <w:shd w:fill="F1F3F7" w:val="clear"/>
            <w:tcBorders>
              <w:top w:sz="3" w:val="single" w:color="C7CBD8"/>
              <w:left w:sz="3" w:val="single" w:color="C7CBD8"/>
              <w:bottom w:sz="3" w:val="single" w:color="C7CBD8"/>
              <w:right w:sz="3" w:val="single" w:color="C7CBD8"/>
            </w:tcBorders>
          </w:tcPr>
          <w:p>
            <w:pPr>
              <w:spacing w:after="0"/>
            </w:pPr>
            <w:r>
              <w:rPr>
                <w:rFonts w:ascii="Inter" w:hAnsi="Inter"/>
                <w:b/>
                <w:color w:val="25265E"/>
                <w:sz w:val="17"/>
              </w:rPr>
              <w:t>Version</w:t>
            </w:r>
          </w:p>
        </w:tc>
        <w:tc>
          <w:tcPr>
            <w:tcW w:type="dxa" w:w="7654"/>
            <w:tcMar>
              <w:top w:w="70" w:type="dxa"/>
              <w:start w:w="80" w:type="dxa"/>
              <w:bottom w:w="70" w:type="dxa"/>
              <w:end w:w="80" w:type="dxa"/>
            </w:tcMar>
            <w:tcBorders>
              <w:top w:sz="3" w:val="single" w:color="C7CBD8"/>
              <w:left w:sz="3" w:val="single" w:color="C7CBD8"/>
              <w:bottom w:sz="3" w:val="single" w:color="C7CBD8"/>
              <w:right w:sz="3" w:val="single" w:color="C7CBD8"/>
            </w:tcBorders>
          </w:tcPr>
          <w:p>
            <w:pPr/>
            <w:r>
              <w:rPr>
                <w:rFonts w:ascii="Inter" w:hAnsi="Inter"/>
                <w:sz w:val="17"/>
              </w:rPr>
              <w:t>1.5</w:t>
            </w:r>
          </w:p>
        </w:tc>
      </w:tr>
      <w:tr>
        <w:tc>
          <w:tcPr>
            <w:tcW w:type="dxa" w:w="1701"/>
            <w:tcMar>
              <w:top w:w="70" w:type="dxa"/>
              <w:start w:w="80" w:type="dxa"/>
              <w:bottom w:w="70" w:type="dxa"/>
              <w:end w:w="80" w:type="dxa"/>
            </w:tcMar>
            <w:shd w:fill="F1F3F7" w:val="clear"/>
            <w:tcBorders>
              <w:top w:sz="3" w:val="single" w:color="C7CBD8"/>
              <w:left w:sz="3" w:val="single" w:color="C7CBD8"/>
              <w:bottom w:sz="3" w:val="single" w:color="C7CBD8"/>
              <w:right w:sz="3" w:val="single" w:color="C7CBD8"/>
            </w:tcBorders>
          </w:tcPr>
          <w:p>
            <w:pPr>
              <w:spacing w:after="0"/>
            </w:pPr>
            <w:r>
              <w:rPr>
                <w:rFonts w:ascii="Inter" w:hAnsi="Inter"/>
                <w:b/>
                <w:color w:val="25265E"/>
                <w:sz w:val="17"/>
              </w:rPr>
              <w:t>Date</w:t>
            </w:r>
          </w:p>
        </w:tc>
        <w:tc>
          <w:tcPr>
            <w:tcW w:type="dxa" w:w="7654"/>
            <w:tcMar>
              <w:top w:w="70" w:type="dxa"/>
              <w:start w:w="80" w:type="dxa"/>
              <w:bottom w:w="70" w:type="dxa"/>
              <w:end w:w="80" w:type="dxa"/>
            </w:tcMar>
            <w:tcBorders>
              <w:top w:sz="3" w:val="single" w:color="C7CBD8"/>
              <w:left w:sz="3" w:val="single" w:color="C7CBD8"/>
              <w:bottom w:sz="3" w:val="single" w:color="C7CBD8"/>
              <w:right w:sz="3" w:val="single" w:color="C7CBD8"/>
            </w:tcBorders>
          </w:tcPr>
          <w:p>
            <w:pPr>
              <w:spacing w:after="0"/>
            </w:pPr>
            <w:r>
              <w:rPr>
                <w:rFonts w:ascii="Inter" w:hAnsi="Inter"/>
                <w:b w:val="0"/>
                <w:color w:val="1A1D2B"/>
                <w:sz w:val="17"/>
              </w:rPr>
              <w:t>5 septembre 2026</w:t>
            </w:r>
          </w:p>
        </w:tc>
      </w:tr>
      <w:tr>
        <w:tc>
          <w:tcPr>
            <w:tcW w:type="dxa" w:w="1701"/>
            <w:tcMar>
              <w:top w:w="70" w:type="dxa"/>
              <w:start w:w="80" w:type="dxa"/>
              <w:bottom w:w="70" w:type="dxa"/>
              <w:end w:w="80" w:type="dxa"/>
            </w:tcMar>
            <w:shd w:fill="F1F3F7" w:val="clear"/>
            <w:tcBorders>
              <w:top w:sz="3" w:val="single" w:color="C7CBD8"/>
              <w:left w:sz="3" w:val="single" w:color="C7CBD8"/>
              <w:bottom w:sz="3" w:val="single" w:color="C7CBD8"/>
              <w:right w:sz="3" w:val="single" w:color="C7CBD8"/>
            </w:tcBorders>
          </w:tcPr>
          <w:p>
            <w:pPr>
              <w:spacing w:after="0"/>
            </w:pPr>
            <w:r>
              <w:rPr>
                <w:rFonts w:ascii="Inter" w:hAnsi="Inter"/>
                <w:b/>
                <w:color w:val="25265E"/>
                <w:sz w:val="17"/>
              </w:rPr>
              <w:t>Portée</w:t>
            </w:r>
          </w:p>
        </w:tc>
        <w:tc>
          <w:tcPr>
            <w:tcW w:type="dxa" w:w="7654"/>
            <w:tcMar>
              <w:top w:w="70" w:type="dxa"/>
              <w:start w:w="80" w:type="dxa"/>
              <w:bottom w:w="70" w:type="dxa"/>
              <w:end w:w="80" w:type="dxa"/>
            </w:tcMar>
            <w:tcBorders>
              <w:top w:sz="3" w:val="single" w:color="C7CBD8"/>
              <w:left w:sz="3" w:val="single" w:color="C7CBD8"/>
              <w:bottom w:sz="3" w:val="single" w:color="C7CBD8"/>
              <w:right w:sz="3" w:val="single" w:color="C7CBD8"/>
            </w:tcBorders>
          </w:tcPr>
          <w:p>
            <w:pPr/>
            <w:r>
              <w:rPr>
                <w:rFonts w:ascii="Inter" w:hAnsi="Inter"/>
                <w:sz w:val="17"/>
              </w:rPr>
              <w:t>CoverView Core, Site, Wallet / Retire, Admin, Partners, Intelligence, assistants IA, carte digitale, Miles et vision Exchange</w:t>
            </w:r>
          </w:p>
        </w:tc>
      </w:tr>
    </w:tbl>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Une donnée métier n’existe qu’une seule fois. Toutes les applications CoverView consomment la même source de vérité, selon leurs droits et leur contexte.</w:t>
            </w:r>
          </w:p>
        </w:tc>
      </w:tr>
    </w:tbl>
    <w:p>
      <w:pPr>
        <w:spacing w:after="0"/>
      </w:pPr>
    </w:p>
    <w:p>
      <w:r>
        <w:rPr>
          <w:rFonts w:ascii="Inter" w:hAnsi="Inter"/>
        </w:rPr>
        <w:br w:type="page"/>
      </w:r>
    </w:p>
    <w:p>
      <w:pPr>
        <w:pStyle w:val="Heading1"/>
        <w:keepNext/>
      </w:pPr>
      <w:r>
        <w:rPr>
          <w:rFonts w:ascii="Inter" w:hAnsi="Inter"/>
        </w:rPr>
        <w:t>Résumé exécutif</w:t>
      </w:r>
    </w:p>
    <w:p>
      <w:pPr>
        <w:pStyle w:val="CoverViewLead"/>
      </w:pPr>
      <w:r>
        <w:rPr/>
        <w:t>CoverView doit être conçu comme une plateforme commune de compréhension, de comparaison, d’automatisation et de pilotage de la prévoyance, de l’assurance et de la retraite. Le site attire et initie. Wallet centralise, répond aux questions de couverture à partir des contrats du client, suit les dossiers et anime la relation grâce à une carte digitale, au programme Miles et à un catalogue d’avantages. CoverView Retire étend la rubrique Retraite de Wallet au niveau de vie du foyer, au choix rente/capital, au décaissement, à la longévité et à la dépendance. Intelligence analyse. Admin constitue le système d’exploitation interne : CRM, suivi client, gestion de dossiers et de tâches, calendrier, messagerie, pilotage commercial, catalogue, fidélité, validations et automatisations. Une couche de copilote IA conversationnel et vocal permet d’interroger cette mémoire opérationnelle, de structurer l’information et d’exécuter des actions autorisées depuis le chat global ou le contexte d’une page, d’un client, d’un dossier ou d’une tâche. Partners relie les apporteurs et peut, selon ses droits, distribuer ou valider des avantages. Exchange constitue une extension future, distincte et réglementairement sensible.</w:t>
      </w:r>
    </w:p>
    <w:p>
      <w:pPr>
        <w:pStyle w:val="Heading2"/>
        <w:keepNext/>
      </w:pPr>
      <w:r>
        <w:rPr/>
        <w:t>Les quatorze règles structurantes</w:t>
      </w:r>
    </w:p>
    <w:p>
      <w:pPr>
        <w:spacing w:after="60"/>
        <w:ind w:left="312" w:hanging="238"/>
      </w:pPr>
      <w:r>
        <w:rPr>
          <w:rFonts w:ascii="Inter" w:hAnsi="Inter"/>
          <w:b/>
          <w:color w:val="6D4AFF"/>
        </w:rPr>
        <w:t xml:space="preserve">1. </w:t>
      </w:r>
      <w:r>
        <w:rPr>
          <w:rFonts w:ascii="Inter" w:hAnsi="Inter"/>
        </w:rPr>
        <w:t>Une seule base de données métier constitue la source de vérité pour les applications principales de CoverView.</w:t>
      </w:r>
    </w:p>
    <w:p>
      <w:pPr>
        <w:spacing w:after="60"/>
        <w:ind w:left="312" w:hanging="238"/>
      </w:pPr>
      <w:r>
        <w:rPr>
          <w:rFonts w:ascii="Inter" w:hAnsi="Inter"/>
          <w:b/>
          <w:color w:val="6D4AFF"/>
        </w:rPr>
        <w:t xml:space="preserve">2. </w:t>
      </w:r>
      <w:r>
        <w:rPr>
          <w:rFonts w:ascii="Inter" w:hAnsi="Inter"/>
        </w:rPr>
        <w:t>Aucun frontend ne se connecte directement à la base : toutes les lectures et écritures passent par le backend et les services communs.</w:t>
      </w:r>
    </w:p>
    <w:p>
      <w:pPr>
        <w:spacing w:after="60"/>
        <w:ind w:left="312" w:hanging="238"/>
      </w:pPr>
      <w:r>
        <w:rPr>
          <w:rFonts w:ascii="Inter" w:hAnsi="Inter"/>
          <w:b/>
          <w:color w:val="6D4AFF"/>
        </w:rPr>
        <w:t xml:space="preserve">3. </w:t>
      </w:r>
      <w:r>
        <w:rPr>
          <w:rFonts w:ascii="Inter" w:hAnsi="Inter"/>
        </w:rPr>
        <w:t>Une donnée de catalogue est maintenue une fois dans Admin puis réutilisée par le site, Wallet, Intelligence et les moteurs analytiques.</w:t>
      </w:r>
    </w:p>
    <w:p>
      <w:pPr>
        <w:spacing w:after="60"/>
        <w:ind w:left="312" w:hanging="238"/>
      </w:pPr>
      <w:r>
        <w:rPr>
          <w:rFonts w:ascii="Inter" w:hAnsi="Inter"/>
          <w:b/>
          <w:color w:val="6D4AFF"/>
        </w:rPr>
        <w:t xml:space="preserve">4. </w:t>
      </w:r>
      <w:r>
        <w:rPr>
          <w:rFonts w:ascii="Inter" w:hAnsi="Inter"/>
        </w:rPr>
        <w:t>Les analyses historiques conservent un snapshot immuable de leurs inputs, hypothèses, versions de moteur et résultats.</w:t>
      </w:r>
    </w:p>
    <w:p>
      <w:pPr>
        <w:spacing w:after="60"/>
        <w:ind w:left="312" w:hanging="238"/>
      </w:pPr>
      <w:r>
        <w:rPr>
          <w:rFonts w:ascii="Inter" w:hAnsi="Inter"/>
          <w:b/>
          <w:color w:val="6D4AFF"/>
        </w:rPr>
        <w:t xml:space="preserve">5. </w:t>
      </w:r>
      <w:r>
        <w:rPr>
          <w:rFonts w:ascii="Inter" w:hAnsi="Inter"/>
        </w:rPr>
        <w:t>Le visiteur reçoit une vraie valeur avant qu’un compte, un numéro de téléphone ou un rendez-vous ne lui soit demandé.</w:t>
      </w:r>
    </w:p>
    <w:p>
      <w:pPr>
        <w:spacing w:after="60"/>
        <w:ind w:left="312" w:hanging="238"/>
      </w:pPr>
      <w:r>
        <w:rPr>
          <w:b/>
          <w:color w:val="6D4AFF"/>
        </w:rPr>
        <w:t xml:space="preserve">6. </w:t>
      </w:r>
      <w:r>
        <w:t>Le futur financier est présenté comme une distribution probabiliste, jamais comme un résultat garanti et unique. Lorsque des probabilités proviennent de simulations Monte-Carlo, le nombre de simulations effectivement utilisé est indiqué une fois, clairement, à proximité du bloc de résultats.</w:t>
      </w:r>
    </w:p>
    <w:p>
      <w:pPr>
        <w:spacing w:after="60"/>
        <w:ind w:left="312" w:hanging="238"/>
      </w:pPr>
      <w:r>
        <w:rPr>
          <w:rFonts w:ascii="Inter" w:hAnsi="Inter"/>
          <w:b/>
          <w:color w:val="6D4AFF"/>
        </w:rPr>
        <w:t xml:space="preserve">7. </w:t>
      </w:r>
      <w:r>
        <w:rPr>
          <w:rFonts w:ascii="Inter" w:hAnsi="Inter"/>
        </w:rPr>
        <w:t>L’inflation est intégrée par défaut et les valeurs réelles sont toujours distinguées des valeurs nominales futures.</w:t>
      </w:r>
    </w:p>
    <w:p>
      <w:pPr>
        <w:spacing w:after="60"/>
        <w:ind w:left="312" w:hanging="238"/>
      </w:pPr>
      <w:r>
        <w:rPr>
          <w:rFonts w:ascii="Inter" w:hAnsi="Inter"/>
          <w:b/>
          <w:color w:val="6D4AFF"/>
        </w:rPr>
        <w:t xml:space="preserve">8. </w:t>
      </w:r>
      <w:r>
        <w:rPr>
          <w:rFonts w:ascii="Inter" w:hAnsi="Inter"/>
        </w:rPr>
        <w:t>La gamification doit expliquer, mémoriser et faciliter la compréhension ; elle ne doit jamais masquer la rigueur financière.</w:t>
      </w:r>
    </w:p>
    <w:p>
      <w:pPr>
        <w:spacing w:after="60"/>
        <w:ind w:left="312" w:hanging="238"/>
      </w:pPr>
      <w:r>
        <w:t>9. Les workflows répétitifs sont automatisés, tandis que l’humain valide les exceptions et les données ambiguës. Tout lead, opportunité, dossier ou demande active doit rester attribué, visible et relié à une prochaine action.</w:t>
      </w:r>
    </w:p>
    <w:p>
      <w:pPr/>
      <w:r>
        <w:t>10. Le copilote IA n’accède jamais directement aux données et ne contourne jamais les permissions : il utilise un registre d’actions métier typées, montre ce qu’il propose ou exécute, demande une confirmation pour les impacts sensibles et journalise chaque instruction, pièce jointe, décision et modification.</w:t>
      </w:r>
    </w:p>
    <w:p>
      <w:pPr>
        <w:spacing w:after="60"/>
        <w:ind w:left="312" w:hanging="238"/>
      </w:pPr>
      <w:r>
        <w:t>11. Le site déclenche l’action ; Wallet porte la relation, l’historique et le suivi dans la durée.</w:t>
      </w:r>
    </w:p>
    <w:p>
      <w:pPr/>
      <w:r>
        <w:t>12. Toute réponse client sur une couverture est fondée sur le contexte autorisé du client, les versions applicables de ses contrats et leurs documents. Elle cite ses sources, distingue fait et interprétation, exprime l’incertitude et ne promet jamais l’acceptation définitive d’un sinistre.</w:t>
      </w:r>
    </w:p>
    <w:p>
      <w:pPr/>
      <w:r>
        <w:t>13. La carte digitale, les Miles et les récompenses reposent sur des identifiants opaques, des règles versionnées et un registre de transactions auditable. Aucun avantage ne doit exposer de données sensibles, permettre une double dépense ou influencer une recommandation au détriment de l’adéquation client.</w:t>
      </w:r>
    </w:p>
    <w:p>
      <w:pPr>
        <w:keepNext w:val="0"/>
      </w:pPr>
      <w:r>
        <w:t>14. CoverView Retire reste intégré à Wallet et à la base commune. Ses hypothèses, règles de décaissement, simulations, offres et décisions sont versionnées ; ni une allocation de référence ni un niveau de réussite modélisé ne constitue une garantie.</w:t>
      </w:r>
    </w:p>
    <w:p>
      <w:pPr>
        <w:pStyle w:val="Heading2"/>
        <w:keepNext/>
      </w:pPr>
      <w:r>
        <w:rPr>
          <w:rFonts w:ascii="Inter" w:hAnsi="Inter"/>
        </w:rPr>
        <w:t>Questions auxquelles l’expérience doit répondre</w:t>
      </w:r>
    </w:p>
    <w:p>
      <w:pPr>
        <w:spacing w:after="60"/>
        <w:ind w:left="312" w:hanging="238"/>
      </w:pPr>
      <w:r>
        <w:rPr>
          <w:rFonts w:ascii="Inter" w:hAnsi="Inter"/>
          <w:b/>
          <w:color w:val="6D4AFF"/>
        </w:rPr>
        <w:t xml:space="preserve">1. </w:t>
      </w:r>
      <w:r>
        <w:rPr>
          <w:rFonts w:ascii="Inter" w:hAnsi="Inter"/>
        </w:rPr>
        <w:t>Qu’est-ce que j’ai réellement aujourd’hui ?</w:t>
      </w:r>
    </w:p>
    <w:p>
      <w:pPr>
        <w:spacing w:after="60"/>
        <w:ind w:left="312" w:hanging="238"/>
      </w:pPr>
      <w:r>
        <w:rPr>
          <w:rFonts w:ascii="Inter" w:hAnsi="Inter"/>
          <w:b/>
          <w:color w:val="6D4AFF"/>
        </w:rPr>
        <w:t xml:space="preserve">2. </w:t>
      </w:r>
      <w:r>
        <w:rPr>
          <w:rFonts w:ascii="Inter" w:hAnsi="Inter"/>
        </w:rPr>
        <w:t>Est-ce que ma solution est bonne et comment se situe-t-elle par rapport au marché ?</w:t>
      </w:r>
    </w:p>
    <w:p>
      <w:pPr>
        <w:spacing w:after="60"/>
        <w:ind w:left="312" w:hanging="238"/>
      </w:pPr>
      <w:r>
        <w:rPr>
          <w:rFonts w:ascii="Inter" w:hAnsi="Inter"/>
          <w:b/>
          <w:color w:val="6D4AFF"/>
        </w:rPr>
        <w:t xml:space="preserve">3. </w:t>
      </w:r>
      <w:r>
        <w:rPr>
          <w:rFonts w:ascii="Inter" w:hAnsi="Inter"/>
        </w:rPr>
        <w:t>Me permettra-t-elle d’atteindre la retraite que je souhaite, compte tenu de l’inflation et de scénarios de marché variés ?</w:t>
      </w:r>
    </w:p>
    <w:p>
      <w:pPr>
        <w:spacing w:after="60"/>
        <w:ind w:left="312" w:hanging="238"/>
      </w:pPr>
      <w:r>
        <w:rPr>
          <w:rFonts w:ascii="Inter" w:hAnsi="Inter"/>
          <w:b/>
          <w:color w:val="6D4AFF"/>
        </w:rPr>
        <w:t xml:space="preserve">4. </w:t>
      </w:r>
      <w:r>
        <w:rPr>
          <w:rFonts w:ascii="Inter" w:hAnsi="Inter"/>
        </w:rPr>
        <w:t>Que puis-je faire pour améliorer mes chances, puis comment suivre et adapter la stratégie dans le temps ?</w:t>
      </w:r>
    </w:p>
    <w:tbl>
      <w:tblPr>
        <w:tblW w:type="auto" w:w="0"/>
        <w:jc w:val="center"/>
        <w:tblLayout w:type="autofit"/>
        <w:tblLook w:firstColumn="1" w:firstRow="1" w:lastColumn="0" w:lastRow="0" w:noHBand="0" w:noVBand="1" w:val="04A0"/>
      </w:tblPr>
      <w:tblGrid>
        <w:gridCol w:w="9978"/>
      </w:tblGrid>
      <w:tr>
        <w:tc>
          <w:tcPr>
            <w:tcW w:type="dxa" w:w="9978"/>
            <w:shd w:fill="DDF5EA" w:val="clear"/>
            <w:tcBorders>
              <w:top w:sz="8" w:val="single" w:color="4A9D78"/>
              <w:left w:sz="16" w:val="single" w:color="4A9D78"/>
              <w:bottom w:sz="8" w:val="single" w:color="4A9D78"/>
              <w:right w:sz="8" w:val="single" w:color="4A9D78"/>
            </w:tcBorders>
            <w:tcMar>
              <w:top w:w="130" w:type="dxa"/>
              <w:start w:w="170" w:type="dxa"/>
              <w:bottom w:w="130" w:type="dxa"/>
              <w:end w:w="150" w:type="dxa"/>
            </w:tcMar>
          </w:tcPr>
          <w:p>
            <w:pPr>
              <w:spacing w:after="40"/>
            </w:pPr>
            <w:r>
              <w:rPr>
                <w:rFonts w:ascii="Inter" w:hAnsi="Inter"/>
                <w:b/>
                <w:color w:val="25265E"/>
                <w:sz w:val="19"/>
              </w:rPr>
              <w:t>Histoire générale</w:t>
            </w:r>
          </w:p>
          <w:p>
            <w:pPr>
              <w:spacing w:after="0"/>
            </w:pPr>
            <w:r>
              <w:rPr>
                <w:rFonts w:ascii="Inter" w:hAnsi="Inter"/>
                <w:color w:val="1A1D2B"/>
                <w:sz w:val="18"/>
              </w:rPr>
              <w:t>Comprendre -&gt; Évaluer -&gt; Se projeter -&gt; Comparer -&gt; Optimiser -&gt; Faire valider -&gt; Suivre -&gt; Adapter</w:t>
            </w:r>
          </w:p>
        </w:tc>
      </w:tr>
    </w:tbl>
    <w:p>
      <w:pPr>
        <w:spacing w:after="0"/>
      </w:pPr>
    </w:p>
    <w:p>
      <w:pPr/>
      <w:r>
        <w:t>5. Suis-je couvert dans le scénario que je décris, sur la base de mes contrats réels, et que dois-je faire maintenant ?</w:t>
      </w:r>
    </w:p>
    <w:p>
      <w:pPr/>
      <w:r>
        <w:t>6. Quels avantages, Miles et services ai-je acquis et comment puis-je les utiliser ?</w:t>
      </w:r>
    </w:p>
    <w:p>
      <w:pPr>
        <w:keepNext w:val="0"/>
      </w:pPr>
      <w:r>
        <w:t>7. Combien le foyer peut-il réellement dépenser à la retraite, avec quel mix rente/capital, et comment le plan résiste-t-il aux crises, à la longévité et à la dépendance ?</w:t>
      </w:r>
    </w:p>
    <w:p>
      <w:pPr>
        <w:pStyle w:val="Heading2"/>
        <w:keepNext/>
      </w:pPr>
      <w:r>
        <w:rPr>
          <w:rFonts w:ascii="Inter" w:hAnsi="Inter"/>
        </w:rPr>
        <w:t>Rôles résumés des surfaces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09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Surface</w:t>
            </w:r>
          </w:p>
        </w:tc>
        <w:tc>
          <w:tcPr>
            <w:tcW w:type="dxa" w:w="493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Rôle principal</w:t>
            </w:r>
          </w:p>
        </w:tc>
        <w:tc>
          <w:tcPr>
            <w:tcW w:type="dxa" w:w="260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Formule de référence</w:t>
            </w:r>
          </w:p>
        </w:tc>
      </w:tr>
      <w:tr>
        <w:trPr>
          <w:cantSplit/>
        </w:trPr>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coverview.ch</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Acquisition, contenu, outils publics, formulaires et initiation de démarches</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Découvrir et agir</w:t>
            </w:r>
          </w:p>
        </w:tc>
      </w:tr>
      <w:tr>
        <w:trPr>
          <w:cantSplit/>
        </w:trPr>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wallet.coverview.ch</w:t>
            </w:r>
          </w:p>
        </w:tc>
        <w:tc>
          <w:tcPr>
            <w:tcW w:type="dxa" w:w="493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Centralisation, audits, assistant de couverture, dossiers, carte digitale, Miles, avantages et relation client ; CoverView Retire et plan de vie du foyer</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Posséder, comprendre, être assisté et bénéficier</w:t>
            </w:r>
          </w:p>
        </w:tc>
      </w:tr>
      <w:tr>
        <w:trPr>
          <w:cantSplit/>
        </w:trPr>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admin.coverview.ch</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6"/>
              </w:rPr>
              <w:t>CRM, gestion de projet et suivi client, tâches, calendrier, email, dashboards, catalogue, copilote IA, fidélité, récompenses, validations et exceptions</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t>Piloter, interroger et orchestrer</w:t>
            </w:r>
          </w:p>
        </w:tc>
      </w:tr>
      <w:tr>
        <w:trPr>
          <w:cantSplit/>
        </w:trPr>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partners.coverview.ch</w:t>
            </w:r>
          </w:p>
        </w:tc>
        <w:tc>
          <w:tcPr>
            <w:tcW w:type="dxa" w:w="493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Leads, progression, commissions, offres partenaires, validation d’avantages, montants dus et paiements</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Transmettre et suivre</w:t>
            </w:r>
          </w:p>
        </w:tc>
      </w:tr>
      <w:tr>
        <w:trPr>
          <w:cantSplit/>
        </w:trPr>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intelligence.coverview.ch</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Analyse professionnelle, données marché, benchmarks et projections</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Explorer, comparer et analyser</w:t>
            </w:r>
          </w:p>
        </w:tc>
      </w:tr>
      <w:tr>
        <w:trPr>
          <w:cantSplit/>
        </w:trPr>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exchange.coverview.ch</w:t>
            </w:r>
          </w:p>
        </w:tc>
        <w:tc>
          <w:tcPr>
            <w:tcW w:type="dxa" w:w="493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Marketplace future de transfert de risques paramétriques</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Transférer un risque mesurable - après validation réglementaire</w:t>
            </w:r>
          </w:p>
        </w:tc>
      </w:tr>
    </w:tbl>
    <w:p>
      <w:pPr>
        <w:spacing w:after="0"/>
      </w:pPr>
    </w:p>
    <w:p>
      <w:pPr>
        <w:pStyle w:val="Heading2"/>
        <w:keepNext/>
      </w:pPr>
      <w:r>
        <w:rPr>
          <w:rFonts w:ascii="Inter" w:hAnsi="Inter"/>
        </w:rPr>
        <w:t>Positionnement final</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CoverView est le système qui relie la stratégie actuelle d’une personne à son objectif réel de retraite, puis mesure, surveille et adapte cette stratégie dans le temps.</w:t>
            </w:r>
          </w:p>
        </w:tc>
      </w:tr>
    </w:tbl>
    <w:p>
      <w:pPr>
        <w:spacing w:after="0"/>
      </w:pPr>
    </w:p>
    <w:p>
      <w:pPr/>
      <w:r>
        <w:rPr>
          <w:rFonts w:ascii="Inter" w:hAnsi="Inter"/>
          <w:i w:val="0"/>
        </w:rPr>
        <w:t>La proposition de valeur peut être exprimée sous deux formes complémentaires :</w:t>
      </w:r>
    </w:p>
    <w:p>
      <w:pPr>
        <w:pStyle w:val="ListBullet"/>
        <w:spacing w:after="50"/>
        <w:ind w:left="312" w:hanging="102"/>
      </w:pPr>
      <w:r>
        <w:rPr>
          <w:rFonts w:ascii="Inter" w:hAnsi="Inter"/>
          <w:b/>
        </w:rPr>
        <w:t xml:space="preserve">Promesse client : </w:t>
      </w:r>
      <w:r>
        <w:rPr>
          <w:rFonts w:ascii="Inter" w:hAnsi="Inter"/>
        </w:rPr>
        <w:t>Choisir. Mesurer. Suivre. Adapter.</w:t>
      </w:r>
    </w:p>
    <w:p>
      <w:pPr>
        <w:pStyle w:val="ListBullet"/>
        <w:spacing w:after="50"/>
        <w:ind w:left="312" w:hanging="102"/>
      </w:pPr>
      <w:r>
        <w:rPr>
          <w:rFonts w:ascii="Inter" w:hAnsi="Inter"/>
          <w:b/>
        </w:rPr>
        <w:t xml:space="preserve">Boucle opérationnelle : </w:t>
      </w:r>
      <w:r>
        <w:rPr>
          <w:rFonts w:ascii="Inter" w:hAnsi="Inter"/>
        </w:rPr>
        <w:t>FIND - MONITOR - ADAPT.</w:t>
      </w:r>
    </w:p>
    <w:p>
      <w:pPr>
        <w:pStyle w:val="ListBullet"/>
        <w:spacing w:after="50"/>
        <w:ind w:left="312" w:hanging="102"/>
      </w:pPr>
      <w:r>
        <w:rPr>
          <w:rFonts w:ascii="Inter" w:hAnsi="Inter"/>
          <w:b/>
        </w:rPr>
        <w:t xml:space="preserve">Différenciation : </w:t>
      </w:r>
      <w:r>
        <w:rPr>
          <w:rFonts w:ascii="Inter" w:hAnsi="Inter"/>
        </w:rPr>
        <w:t>les autres proposent ; CoverView analyse, benchmarke, compare, suit et réévalue.</w:t>
      </w:r>
    </w:p>
    <w:p>
      <w:pPr>
        <w:pStyle w:val="Heading1"/>
        <w:keepNext/>
      </w:pPr>
      <w:r>
        <w:rPr>
          <w:rFonts w:ascii="Inter" w:hAnsi="Inter"/>
        </w:rPr>
        <w:t>Sommaire</w:t>
      </w:r>
    </w:p>
    <w:p>
      <w:pPr>
        <w:spacing w:after="100"/>
      </w:pPr>
      <w:r>
        <w:rPr>
          <w:rFonts w:ascii="Inter Display" w:hAnsi="Inter Display"/>
          <w:b/>
          <w:color w:val="6D4AFF"/>
          <w:sz w:val="20"/>
        </w:rPr>
        <w:t>01</w:t>
      </w:r>
      <w:r>
        <w:rPr>
          <w:rFonts w:ascii="Inter Display" w:hAnsi="Inter Display"/>
          <w:b/>
          <w:color w:val="25265E"/>
          <w:sz w:val="20"/>
        </w:rPr>
        <w:t xml:space="preserve">  Partie I - Vision, marque et positionnement</w:t>
      </w:r>
    </w:p>
    <w:p>
      <w:pPr>
        <w:spacing w:after="100"/>
      </w:pPr>
      <w:r>
        <w:rPr>
          <w:rFonts w:ascii="Inter Display" w:hAnsi="Inter Display"/>
          <w:b/>
          <w:color w:val="6D4AFF"/>
          <w:sz w:val="20"/>
        </w:rPr>
        <w:t>02</w:t>
      </w:r>
      <w:r>
        <w:rPr>
          <w:rFonts w:ascii="Inter Display" w:hAnsi="Inter Display"/>
          <w:b/>
          <w:color w:val="25265E"/>
          <w:sz w:val="20"/>
        </w:rPr>
        <w:t xml:space="preserve">  Partie II - Écosystème applicatif et architecture commune</w:t>
      </w:r>
    </w:p>
    <w:p>
      <w:pPr>
        <w:spacing w:after="100"/>
      </w:pPr>
      <w:r>
        <w:rPr>
          <w:rFonts w:ascii="Inter Display" w:hAnsi="Inter Display"/>
          <w:b/>
          <w:color w:val="6D4AFF"/>
          <w:sz w:val="20"/>
        </w:rPr>
        <w:t>03</w:t>
      </w:r>
      <w:r>
        <w:rPr>
          <w:rFonts w:ascii="Inter Display" w:hAnsi="Inter Display"/>
          <w:b/>
          <w:color w:val="25265E"/>
          <w:sz w:val="20"/>
        </w:rPr>
        <w:t xml:space="preserve">  Partie III - Données, gouvernance et source de vérité</w:t>
      </w:r>
    </w:p>
    <w:p>
      <w:pPr>
        <w:spacing w:after="100"/>
      </w:pPr>
      <w:r>
        <w:rPr>
          <w:rFonts w:ascii="Inter Display" w:hAnsi="Inter Display"/>
          <w:b/>
          <w:color w:val="6D4AFF"/>
          <w:sz w:val="20"/>
        </w:rPr>
        <w:t>04</w:t>
      </w:r>
      <w:r>
        <w:rPr>
          <w:rFonts w:ascii="Inter Display" w:hAnsi="Inter Display"/>
          <w:b/>
          <w:color w:val="25265E"/>
          <w:sz w:val="20"/>
        </w:rPr>
        <w:t xml:space="preserve">  Partie IV - Site public, acquisition et lisibilité par les IA</w:t>
      </w:r>
    </w:p>
    <w:p>
      <w:pPr>
        <w:spacing w:after="100"/>
      </w:pPr>
      <w:r>
        <w:rPr>
          <w:rFonts w:ascii="Inter Display" w:hAnsi="Inter Display"/>
          <w:b/>
          <w:color w:val="6D4AFF"/>
          <w:sz w:val="20"/>
        </w:rPr>
        <w:t>05</w:t>
      </w:r>
      <w:r>
        <w:rPr>
          <w:rFonts w:ascii="Inter Display" w:hAnsi="Inter Display"/>
          <w:b/>
          <w:color w:val="25265E"/>
          <w:sz w:val="20"/>
        </w:rPr>
        <w:t xml:space="preserve">  Partie V - Capacités transactionnelles et automatisations transversales</w:t>
      </w:r>
    </w:p>
    <w:p>
      <w:pPr>
        <w:spacing w:after="100"/>
      </w:pPr>
      <w:r>
        <w:rPr>
          <w:rFonts w:ascii="Inter Display" w:hAnsi="Inter Display"/>
          <w:b/>
          <w:color w:val="6D4AFF"/>
          <w:sz w:val="20"/>
        </w:rPr>
        <w:t>06</w:t>
      </w:r>
      <w:r>
        <w:rPr>
          <w:rFonts w:ascii="Inter Display" w:hAnsi="Inter Display"/>
          <w:b/>
          <w:color w:val="25265E"/>
          <w:sz w:val="20"/>
        </w:rPr>
        <w:t xml:space="preserve">  Partie VI - Parcours 3P, retraite, analyse et gamification</w:t>
      </w:r>
    </w:p>
    <w:p>
      <w:pPr>
        <w:keepNext w:val="0"/>
      </w:pPr>
      <w:r>
        <w:rPr>
          <w:rFonts w:ascii="Inter Display" w:hAnsi="Inter Display"/>
          <w:b/>
          <w:color w:val="6D4AFF"/>
          <w:sz w:val="20"/>
        </w:rPr>
        <w:t>06 bis</w:t>
      </w:r>
      <w:r>
        <w:rPr>
          <w:rFonts w:ascii="Inter Display" w:hAnsi="Inter Display"/>
          <w:b/>
          <w:color w:val="25265E"/>
          <w:sz w:val="20"/>
        </w:rPr>
        <w:t xml:space="preserve">  Partie VI bis - CoverView Retire : décision, décaissement et business model</w:t>
      </w:r>
    </w:p>
    <w:p>
      <w:pPr>
        <w:spacing w:after="100"/>
      </w:pPr>
      <w:r>
        <w:rPr>
          <w:rFonts w:ascii="Inter Display" w:hAnsi="Inter Display"/>
          <w:b/>
          <w:color w:val="6D4AFF"/>
          <w:sz w:val="20"/>
        </w:rPr>
        <w:t>07</w:t>
      </w:r>
      <w:r>
        <w:rPr>
          <w:rFonts w:ascii="Inter Display" w:hAnsi="Inter Display"/>
          <w:b/>
          <w:color w:val="25265E"/>
          <w:sz w:val="20"/>
        </w:rPr>
        <w:t xml:space="preserve">  Partie VII - Spécification par application</w:t>
      </w:r>
    </w:p>
    <w:p>
      <w:pPr>
        <w:spacing w:after="100"/>
      </w:pPr>
      <w:r>
        <w:rPr>
          <w:rFonts w:ascii="Inter Display" w:hAnsi="Inter Display"/>
          <w:b/>
          <w:color w:val="6D4AFF"/>
          <w:sz w:val="20"/>
        </w:rPr>
        <w:t>08</w:t>
      </w:r>
      <w:r>
        <w:rPr>
          <w:rFonts w:ascii="Inter Display" w:hAnsi="Inter Display"/>
          <w:b/>
          <w:color w:val="25265E"/>
          <w:sz w:val="20"/>
        </w:rPr>
        <w:t xml:space="preserve">  Partie VIII - Moteurs, API, événements et exigences techniques</w:t>
      </w:r>
    </w:p>
    <w:p>
      <w:pPr>
        <w:spacing w:after="100"/>
      </w:pPr>
      <w:r>
        <w:rPr>
          <w:rFonts w:ascii="Inter Display" w:hAnsi="Inter Display"/>
          <w:b/>
          <w:color w:val="6D4AFF"/>
          <w:sz w:val="20"/>
        </w:rPr>
        <w:t>09</w:t>
      </w:r>
      <w:r>
        <w:rPr>
          <w:rFonts w:ascii="Inter Display" w:hAnsi="Inter Display"/>
          <w:b/>
          <w:color w:val="25265E"/>
          <w:sz w:val="20"/>
        </w:rPr>
        <w:t xml:space="preserve">  Partie IX - Workflows de bout en bout</w:t>
      </w:r>
    </w:p>
    <w:p>
      <w:pPr>
        <w:spacing w:after="100"/>
      </w:pPr>
      <w:r>
        <w:rPr>
          <w:rFonts w:ascii="Inter Display" w:hAnsi="Inter Display"/>
          <w:b/>
          <w:color w:val="6D4AFF"/>
          <w:sz w:val="20"/>
        </w:rPr>
        <w:t>10</w:t>
      </w:r>
      <w:r>
        <w:rPr>
          <w:rFonts w:ascii="Inter Display" w:hAnsi="Inter Display"/>
          <w:b/>
          <w:color w:val="25265E"/>
          <w:sz w:val="20"/>
        </w:rPr>
        <w:t xml:space="preserve">  Partie X - Roadmap, mesure, gouvernance et glossaire</w:t>
      </w:r>
    </w:p>
    <w:p>
      <w:pPr>
        <w:pStyle w:val="CoverViewSmall"/>
        <w:keepNext w:val="0"/>
      </w:pPr>
      <w:r>
        <w:t>Évolution v1.5 — Intégration du document « CoverView Retire — Retirement Decision Engine, Growth Cascade &amp; Business Model », v1.0 du 5 septembre 2026. Les sections R1 à R13 en reprennent la structure ; R14 à R16 explicitent le raccordement à la bible et les décisions ouvertes. Les numéros des sections existantes sont conservés.</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I</w:t>
            </w:r>
          </w:p>
          <w:p>
            <w:pPr>
              <w:spacing w:after="0"/>
            </w:pPr>
            <w:r>
              <w:rPr>
                <w:rFonts w:ascii="Inter" w:hAnsi="Inter"/>
                <w:color w:val="E7E8FF"/>
                <w:sz w:val="20"/>
              </w:rPr>
              <w:t>Vision, marque et positionnement</w:t>
            </w:r>
          </w:p>
        </w:tc>
      </w:tr>
    </w:tbl>
    <w:p>
      <w:pPr>
        <w:spacing w:after="0"/>
      </w:pPr>
    </w:p>
    <w:p>
      <w:pPr>
        <w:pStyle w:val="Heading1"/>
        <w:keepNext/>
      </w:pPr>
      <w:r>
        <w:rPr>
          <w:rFonts w:ascii="Inter" w:hAnsi="Inter"/>
        </w:rPr>
        <w:t>1. Raison d’être du document</w:t>
      </w:r>
    </w:p>
    <w:p>
      <w:pPr/>
      <w:r>
        <w:rPr>
          <w:rFonts w:ascii="Inter" w:hAnsi="Inter"/>
          <w:i w:val="0"/>
        </w:rPr>
        <w:t>Cette bible rassemble la vision produit, la structure de l’écosystème, les pages, les fonctionnalités, les interactions, les moteurs analytiques, les workflows administratifs et les principes de données de CoverView. Elle sert de référence commune pour la stratégie, le design, le développement, la conformité, le contenu et l’exploitation quotidienne.</w:t>
      </w:r>
    </w:p>
    <w:p>
      <w:pPr/>
      <w:r>
        <w:rPr>
          <w:rFonts w:ascii="Inter" w:hAnsi="Inter"/>
          <w:i w:val="0"/>
        </w:rPr>
        <w:t>Elle ne remplace pas les spécifications détaillées de chaque sprint. Elle fixe cependant les invariants : ce que CoverView veut devenir, ce qui doit être partagé entre les applications, ce qui doit rester reproductible et la manière dont les parcours se répondent.</w:t>
      </w:r>
    </w:p>
    <w:p>
      <w:pPr>
        <w:keepNext w:val="0"/>
      </w:pPr>
      <w:r>
        <w:t>Source ajoutée en v1.5 : [RET-1] CoverView Retire — Retirement Decision Engine, Growth Cascade &amp; Business Model, version 1.0 du 5 septembre 2026, PDF de 7 pages fourni par le porteur du projet. Les références [RET-1, p. …] identifient les exigences reprises. Les éléments marqués « raccordement proposé » décrivent leur intégration technique et opérationnelle ; ils ne sont pas des précisions présentes dans le PDF.</w:t>
      </w:r>
    </w:p>
    <w:p>
      <w:pPr>
        <w:pStyle w:val="Heading1"/>
        <w:keepNext/>
      </w:pPr>
      <w:r>
        <w:rPr>
          <w:rFonts w:ascii="Inter" w:hAnsi="Inter"/>
        </w:rPr>
        <w:t>2. Vision générale</w:t>
      </w:r>
    </w:p>
    <w:p>
      <w:pPr>
        <w:pStyle w:val="CoverViewLead"/>
      </w:pPr>
      <w:r>
        <w:rPr>
          <w:rFonts w:ascii="Inter" w:hAnsi="Inter"/>
          <w:color w:val="5F667A"/>
          <w:sz w:val="22"/>
        </w:rPr>
        <w:t>CoverView ne doit être ni un simple comparateur de troisième pilier, ni un calculateur de rendement, ni une vitrine de courtage. Il doit devenir une couche d’intelligence et d’orchestration entre les contrats, les données de marché, les objectifs personnels et les actions à entreprendre.</w:t>
      </w:r>
    </w:p>
    <w:p>
      <w:pPr/>
      <w:r>
        <w:rPr>
          <w:rFonts w:ascii="Inter" w:hAnsi="Inter"/>
          <w:i w:val="0"/>
        </w:rPr>
        <w:t>La plateforme doit pouvoir partir d’une situation très floue - par exemple « je sais que j’ai des contrats quelque part, mais je ne retrouve rien » - et progressivement reconstruire une vision fiable, analysable et suivie : identité vérifiée, documents retrouvés, contrats digitalisés, avoirs LPP recherchés, données structurées, audit, benchmark, recommandations et historique.</w:t>
      </w:r>
    </w:p>
    <w:p>
      <w:pPr>
        <w:pStyle w:val="Heading2"/>
        <w:keepNext/>
      </w:pPr>
      <w:r>
        <w:rPr>
          <w:rFonts w:ascii="Inter" w:hAnsi="Inter"/>
        </w:rPr>
        <w:t>2.1 North Star produit</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Passer du désordre administratif à une vision claire, comparable, actionnable et suivie dans le temps.</w:t>
            </w:r>
          </w:p>
        </w:tc>
      </w:tr>
    </w:tbl>
    <w:p>
      <w:pPr>
        <w:spacing w:after="0"/>
      </w:pPr>
    </w:p>
    <w:p>
      <w:pPr>
        <w:pStyle w:val="Heading2"/>
        <w:keepNext/>
      </w:pPr>
      <w:r>
        <w:rPr>
          <w:rFonts w:ascii="Inter" w:hAnsi="Inter"/>
        </w:rPr>
        <w:t>2.2 Histoire racontée au client</w:t>
      </w:r>
    </w:p>
    <w:p>
      <w:pPr>
        <w:spacing w:after="60"/>
        <w:ind w:left="312" w:hanging="238"/>
      </w:pPr>
      <w:r>
        <w:rPr>
          <w:rFonts w:ascii="Inter" w:hAnsi="Inter"/>
          <w:b/>
          <w:color w:val="6D4AFF"/>
        </w:rPr>
        <w:t xml:space="preserve">1. </w:t>
      </w:r>
      <w:r>
        <w:rPr>
          <w:rFonts w:ascii="Inter" w:hAnsi="Inter"/>
        </w:rPr>
        <w:t>Je pensais simplement avoir un troisième pilier.</w:t>
      </w:r>
    </w:p>
    <w:p>
      <w:pPr>
        <w:spacing w:after="60"/>
        <w:ind w:left="312" w:hanging="238"/>
      </w:pPr>
      <w:r>
        <w:rPr>
          <w:rFonts w:ascii="Inter" w:hAnsi="Inter"/>
          <w:b/>
          <w:color w:val="6D4AFF"/>
        </w:rPr>
        <w:t xml:space="preserve">2. </w:t>
      </w:r>
      <w:r>
        <w:rPr>
          <w:rFonts w:ascii="Inter" w:hAnsi="Inter"/>
        </w:rPr>
        <w:t>J’ai découvert où mon argent était réellement investi et ce que mon contrat contenait.</w:t>
      </w:r>
    </w:p>
    <w:p>
      <w:pPr>
        <w:spacing w:after="60"/>
        <w:ind w:left="312" w:hanging="238"/>
      </w:pPr>
      <w:r>
        <w:rPr>
          <w:rFonts w:ascii="Inter" w:hAnsi="Inter"/>
          <w:b/>
          <w:color w:val="6D4AFF"/>
        </w:rPr>
        <w:t xml:space="preserve">3. </w:t>
      </w:r>
      <w:r>
        <w:rPr>
          <w:rFonts w:ascii="Inter" w:hAnsi="Inter"/>
        </w:rPr>
        <w:t>J’ai compris la qualité de mon allocation, ses frais, ses protections et sa flexibilité.</w:t>
      </w:r>
    </w:p>
    <w:p>
      <w:pPr>
        <w:spacing w:after="60"/>
        <w:ind w:left="312" w:hanging="238"/>
      </w:pPr>
      <w:r>
        <w:rPr>
          <w:rFonts w:ascii="Inter" w:hAnsi="Inter"/>
          <w:b/>
          <w:color w:val="6D4AFF"/>
        </w:rPr>
        <w:t xml:space="preserve">4. </w:t>
      </w:r>
      <w:r>
        <w:rPr>
          <w:rFonts w:ascii="Inter" w:hAnsi="Inter"/>
        </w:rPr>
        <w:t>J’ai obtenu un score explicable et un benchmark comparable.</w:t>
      </w:r>
    </w:p>
    <w:p>
      <w:pPr>
        <w:spacing w:after="60"/>
        <w:ind w:left="312" w:hanging="238"/>
      </w:pPr>
      <w:r>
        <w:rPr>
          <w:rFonts w:ascii="Inter" w:hAnsi="Inter"/>
          <w:b/>
          <w:color w:val="6D4AFF"/>
        </w:rPr>
        <w:t xml:space="preserve">5. </w:t>
      </w:r>
      <w:r>
        <w:rPr>
          <w:rFonts w:ascii="Inter" w:hAnsi="Inter"/>
        </w:rPr>
        <w:t>J’ai vu vers quel niveau de retraite ma trajectoire actuelle pouvait me conduire.</w:t>
      </w:r>
    </w:p>
    <w:p>
      <w:pPr>
        <w:spacing w:after="60"/>
        <w:ind w:left="312" w:hanging="238"/>
      </w:pPr>
      <w:r>
        <w:rPr>
          <w:rFonts w:ascii="Inter" w:hAnsi="Inter"/>
          <w:b/>
          <w:color w:val="6D4AFF"/>
        </w:rPr>
        <w:t xml:space="preserve">6. </w:t>
      </w:r>
      <w:r>
        <w:rPr>
          <w:rFonts w:ascii="Inter" w:hAnsi="Inter"/>
        </w:rPr>
        <w:t>J’ai compris la différence entre CHF d’aujourd’hui et CHF futurs sous l’effet de l’inflation.</w:t>
      </w:r>
    </w:p>
    <w:p>
      <w:pPr>
        <w:spacing w:after="60"/>
        <w:ind w:left="312" w:hanging="238"/>
      </w:pPr>
      <w:r>
        <w:rPr>
          <w:rFonts w:ascii="Inter" w:hAnsi="Inter"/>
          <w:b/>
          <w:color w:val="6D4AFF"/>
        </w:rPr>
        <w:t xml:space="preserve">7. </w:t>
      </w:r>
      <w:r>
        <w:rPr>
          <w:rFonts w:ascii="Inter" w:hAnsi="Inter"/>
        </w:rPr>
        <w:t>J’ai découvert le capital réellement nécessaire et l’âge auquel ma stratégie atteint probablement l’objectif.</w:t>
      </w:r>
    </w:p>
    <w:p>
      <w:pPr>
        <w:spacing w:after="60"/>
        <w:ind w:left="312" w:hanging="238"/>
      </w:pPr>
      <w:r>
        <w:rPr>
          <w:rFonts w:ascii="Inter" w:hAnsi="Inter"/>
          <w:b/>
          <w:color w:val="6D4AFF"/>
        </w:rPr>
        <w:t xml:space="preserve">8. </w:t>
      </w:r>
      <w:r>
        <w:rPr>
          <w:rFonts w:ascii="Inter" w:hAnsi="Inter"/>
        </w:rPr>
        <w:t>J’ai vu la probabilité d’atteindre la cible à l’âge souhaité et la distribution des résultats possibles.</w:t>
      </w:r>
    </w:p>
    <w:p>
      <w:pPr>
        <w:spacing w:after="60"/>
        <w:ind w:left="312" w:hanging="238"/>
      </w:pPr>
      <w:r>
        <w:rPr>
          <w:rFonts w:ascii="Inter" w:hAnsi="Inter"/>
          <w:b/>
          <w:color w:val="6D4AFF"/>
        </w:rPr>
        <w:t xml:space="preserve">9. </w:t>
      </w:r>
      <w:r>
        <w:rPr>
          <w:rFonts w:ascii="Inter" w:hAnsi="Inter"/>
        </w:rPr>
        <w:t>J’ai comparé des alternatives et compris les compromis.</w:t>
      </w:r>
    </w:p>
    <w:p>
      <w:pPr>
        <w:spacing w:after="60"/>
        <w:ind w:left="312" w:hanging="238"/>
      </w:pPr>
      <w:r>
        <w:rPr>
          <w:rFonts w:ascii="Inter" w:hAnsi="Inter"/>
          <w:b/>
          <w:color w:val="6D4AFF"/>
        </w:rPr>
        <w:t xml:space="preserve">10. </w:t>
      </w:r>
      <w:r>
        <w:rPr>
          <w:rFonts w:ascii="Inter" w:hAnsi="Inter"/>
        </w:rPr>
        <w:t>J’ai compris qu’une bonne stratégie doit être mesurée, surveillée et adaptée dans le temps.</w:t>
      </w:r>
    </w:p>
    <w:p>
      <w:pPr>
        <w:pStyle w:val="Heading1"/>
        <w:keepNext/>
      </w:pPr>
      <w:r>
        <w:rPr>
          <w:rFonts w:ascii="Inter" w:hAnsi="Inter"/>
        </w:rPr>
        <w:t>3. Différenciation stratégique</w:t>
      </w:r>
    </w:p>
    <w:p>
      <w:pPr/>
      <w:r>
        <w:rPr>
          <w:rFonts w:ascii="Inter" w:hAnsi="Inter"/>
          <w:i w:val="0"/>
        </w:rPr>
        <w:t>La différence de CoverView ne repose pas uniquement sur l’accès à plusieurs compagnies. Elle repose sur la combinaison de compétences en ingénierie logicielle, produit, UX, automatisation, assurance, finance et investissement. Cette combinaison permet de traiter la prévoyance comme un système à comprendre plutôt que comme une simple série de produits à distribuer.</w:t>
      </w:r>
    </w:p>
    <w:p>
      <w:pPr>
        <w:pStyle w:val="Heading2"/>
        <w:keepNext/>
      </w:pPr>
      <w:r>
        <w:rPr>
          <w:rFonts w:ascii="Inter" w:hAnsi="Inter"/>
        </w:rPr>
        <w:t>3.1 Du produit à la stratégie</w:t>
      </w:r>
    </w:p>
    <w:tbl>
      <w:tblPr>
        <w:tblW w:type="auto" w:w="0"/>
        <w:jc w:val="center"/>
        <w:tblLayout w:type="autofit"/>
        <w:tblLook w:firstColumn="1" w:firstRow="1" w:lastColumn="0" w:lastRow="0" w:noHBand="0" w:noVBand="1" w:val="04A0"/>
      </w:tblPr>
      <w:tblGrid>
        <w:gridCol w:w="9978"/>
      </w:tblGrid>
      <w:tr>
        <w:tc>
          <w:tcPr>
            <w:tcW w:type="dxa" w:w="9978"/>
            <w:shd w:fill="DCE6FF" w:val="clear"/>
            <w:tcBorders>
              <w:top w:sz="8" w:val="single" w:color="6789D6"/>
              <w:left w:sz="16" w:val="single" w:color="6789D6"/>
              <w:bottom w:sz="8" w:val="single" w:color="6789D6"/>
              <w:right w:sz="8" w:val="single" w:color="6789D6"/>
            </w:tcBorders>
            <w:tcMar>
              <w:top w:w="130" w:type="dxa"/>
              <w:start w:w="170" w:type="dxa"/>
              <w:bottom w:w="130" w:type="dxa"/>
              <w:end w:w="150" w:type="dxa"/>
            </w:tcMar>
          </w:tcPr>
          <w:p>
            <w:pPr>
              <w:spacing w:after="40"/>
            </w:pPr>
            <w:r>
              <w:rPr>
                <w:rFonts w:ascii="Inter" w:hAnsi="Inter"/>
                <w:b/>
                <w:color w:val="25265E"/>
                <w:sz w:val="19"/>
              </w:rPr>
              <w:t>Ordre de raisonnement</w:t>
            </w:r>
          </w:p>
          <w:p>
            <w:pPr>
              <w:spacing w:after="0"/>
            </w:pPr>
            <w:r>
              <w:rPr>
                <w:rFonts w:ascii="Inter" w:hAnsi="Inter"/>
                <w:color w:val="1A1D2B"/>
                <w:sz w:val="18"/>
              </w:rPr>
              <w:t>Objectif -&gt; horizon -&gt; situation -&gt; contraintes -&gt; environnement -&gt; stratégie -&gt; enveloppe -&gt; produit. Le produit arrive à la fin, et non au début.</w:t>
            </w:r>
          </w:p>
        </w:tc>
      </w:tr>
    </w:tbl>
    <w:p>
      <w:pPr>
        <w:spacing w:after="0"/>
      </w:pPr>
    </w:p>
    <w:p>
      <w:pPr/>
      <w:r>
        <w:rPr>
          <w:rFonts w:ascii="Inter" w:hAnsi="Inter"/>
          <w:i w:val="0"/>
        </w:rPr>
        <w:t>Certaines stratégies exigent une compréhension approfondie des marchés, des secteurs et des facteurs de risque sous-jacents. CoverView doit expliquer qu’il préfère comprendre précisément ce qui est détenu et pourquoi, plutôt que d’appliquer automatiquement une allocation standard ou d’éviter une exposition uniquement parce qu’elle est volatile.</w:t>
      </w:r>
    </w:p>
    <w:p>
      <w:pPr>
        <w:pStyle w:val="Heading2"/>
        <w:keepNext/>
      </w:pPr>
      <w:r>
        <w:rPr>
          <w:rFonts w:ascii="Inter" w:hAnsi="Inter"/>
        </w:rPr>
        <w:t>3.2 Benchmark comme marque de fabrique</w:t>
      </w:r>
    </w:p>
    <w:p>
      <w:pPr/>
      <w:r>
        <w:rPr>
          <w:rFonts w:ascii="Inter" w:hAnsi="Inter"/>
          <w:i w:val="0"/>
        </w:rPr>
        <w:t>Le benchmark transforme une opinion commerciale en positionnement mesurable. CoverView ne doit pas simplement affirmer qu’une solution est meilleure : il doit montrer où la solution actuelle se situe par rapport à des alternatives comparables et selon des critères documentés.</w:t>
      </w:r>
    </w:p>
    <w:p>
      <w:pPr>
        <w:pStyle w:val="ListBullet"/>
        <w:spacing w:after="50"/>
        <w:ind w:left="312" w:hanging="102"/>
      </w:pPr>
      <w:r>
        <w:rPr>
          <w:rFonts w:ascii="Inter" w:hAnsi="Inter"/>
        </w:rPr>
        <w:t>frais et structure de coûts ;</w:t>
      </w:r>
    </w:p>
    <w:p>
      <w:pPr>
        <w:pStyle w:val="ListBullet"/>
        <w:spacing w:after="50"/>
        <w:ind w:left="312" w:hanging="102"/>
      </w:pPr>
      <w:r>
        <w:rPr>
          <w:rFonts w:ascii="Inter" w:hAnsi="Inter"/>
        </w:rPr>
        <w:t>performance historique et performance relative ;</w:t>
      </w:r>
    </w:p>
    <w:p>
      <w:pPr>
        <w:pStyle w:val="ListBullet"/>
        <w:spacing w:after="50"/>
        <w:ind w:left="312" w:hanging="102"/>
      </w:pPr>
      <w:r>
        <w:rPr>
          <w:rFonts w:ascii="Inter" w:hAnsi="Inter"/>
        </w:rPr>
        <w:t>volatilité, drawdown et risque de baisse ;</w:t>
      </w:r>
    </w:p>
    <w:p>
      <w:pPr>
        <w:pStyle w:val="ListBullet"/>
        <w:spacing w:after="50"/>
        <w:ind w:left="312" w:hanging="102"/>
      </w:pPr>
      <w:r>
        <w:rPr>
          <w:rFonts w:ascii="Inter" w:hAnsi="Inter"/>
        </w:rPr>
        <w:t>diversification et concentration ;</w:t>
      </w:r>
    </w:p>
    <w:p>
      <w:pPr>
        <w:pStyle w:val="ListBullet"/>
        <w:spacing w:after="50"/>
        <w:ind w:left="312" w:hanging="102"/>
      </w:pPr>
      <w:r>
        <w:rPr>
          <w:rFonts w:ascii="Inter" w:hAnsi="Inter"/>
        </w:rPr>
        <w:t>univers de fonds et flexibilité d’allocation ;</w:t>
      </w:r>
    </w:p>
    <w:p>
      <w:pPr>
        <w:pStyle w:val="ListBullet"/>
        <w:spacing w:after="50"/>
        <w:ind w:left="312" w:hanging="102"/>
      </w:pPr>
      <w:r>
        <w:rPr>
          <w:rFonts w:ascii="Inter" w:hAnsi="Inter"/>
        </w:rPr>
        <w:t>garanties, capital décès et libération des primes ;</w:t>
      </w:r>
    </w:p>
    <w:p>
      <w:pPr>
        <w:pStyle w:val="ListBullet"/>
        <w:spacing w:after="50"/>
        <w:ind w:left="312" w:hanging="102"/>
      </w:pPr>
      <w:r>
        <w:rPr>
          <w:rFonts w:ascii="Inter" w:hAnsi="Inter"/>
        </w:rPr>
        <w:t>valeur de rachat, liquidité et conditions de sortie ;</w:t>
      </w:r>
    </w:p>
    <w:p>
      <w:pPr>
        <w:pStyle w:val="ListBullet"/>
        <w:spacing w:after="50"/>
        <w:ind w:left="312" w:hanging="102"/>
      </w:pPr>
      <w:r>
        <w:rPr>
          <w:rFonts w:ascii="Inter" w:hAnsi="Inter"/>
        </w:rPr>
        <w:t>adaptabilité, suivi et cohérence avec l’objectif.</w:t>
      </w:r>
    </w:p>
    <w:p>
      <w:pPr/>
      <w:r>
        <w:rPr>
          <w:rFonts w:ascii="Inter" w:hAnsi="Inter"/>
          <w:i w:val="0"/>
        </w:rPr>
        <w:t>Les cohortes de comparaison doivent être réellement comparables : même catégorie de produit, période pertinente, profil ou contraintes similaires lorsque nécessaire. Le rang ne doit jamais être présenté sans cadre méthodologique.</w:t>
      </w:r>
    </w:p>
    <w:p>
      <w:pPr>
        <w:pStyle w:val="Heading1"/>
        <w:keepNext/>
      </w:pPr>
      <w:r>
        <w:rPr>
          <w:rFonts w:ascii="Inter" w:hAnsi="Inter"/>
        </w:rPr>
        <w:t>4. Vision, philosophie et méthode</w:t>
      </w:r>
    </w:p>
    <w:p>
      <w:pPr>
        <w:pStyle w:val="Heading2"/>
        <w:keepNext/>
      </w:pPr>
      <w:r>
        <w:rPr>
          <w:rFonts w:ascii="Inter" w:hAnsi="Inter"/>
        </w:rPr>
        <w:t>4.1 Principes de philosophie</w:t>
      </w:r>
    </w:p>
    <w:p>
      <w:pPr>
        <w:pStyle w:val="ListBullet"/>
        <w:spacing w:after="50"/>
        <w:ind w:left="312" w:hanging="102"/>
      </w:pPr>
      <w:r>
        <w:rPr>
          <w:rFonts w:ascii="Inter" w:hAnsi="Inter"/>
        </w:rPr>
        <w:t>comprendre avant de recommander ;</w:t>
      </w:r>
    </w:p>
    <w:p>
      <w:pPr>
        <w:pStyle w:val="ListBullet"/>
        <w:spacing w:after="50"/>
        <w:ind w:left="312" w:hanging="102"/>
      </w:pPr>
      <w:r>
        <w:rPr>
          <w:rFonts w:ascii="Inter" w:hAnsi="Inter"/>
        </w:rPr>
        <w:t>analyser plutôt que supposer ;</w:t>
      </w:r>
    </w:p>
    <w:p>
      <w:pPr>
        <w:pStyle w:val="ListBullet"/>
        <w:spacing w:after="50"/>
        <w:ind w:left="312" w:hanging="102"/>
      </w:pPr>
      <w:r>
        <w:rPr>
          <w:rFonts w:ascii="Inter" w:hAnsi="Inter"/>
        </w:rPr>
        <w:t>comparer plutôt que considérer une solution isolément ;</w:t>
      </w:r>
    </w:p>
    <w:p>
      <w:pPr>
        <w:pStyle w:val="ListBullet"/>
        <w:spacing w:after="50"/>
        <w:ind w:left="312" w:hanging="102"/>
      </w:pPr>
      <w:r>
        <w:rPr>
          <w:rFonts w:ascii="Inter" w:hAnsi="Inter"/>
        </w:rPr>
        <w:t>raisonner en fonction de l’horizon et des objectifs ;</w:t>
      </w:r>
    </w:p>
    <w:p>
      <w:pPr>
        <w:pStyle w:val="ListBullet"/>
        <w:spacing w:after="50"/>
        <w:ind w:left="312" w:hanging="102"/>
      </w:pPr>
      <w:r>
        <w:rPr>
          <w:rFonts w:ascii="Inter" w:hAnsi="Inter"/>
        </w:rPr>
        <w:t>distinguer volatilité et risque économique réel ;</w:t>
      </w:r>
    </w:p>
    <w:p>
      <w:pPr>
        <w:pStyle w:val="ListBullet"/>
        <w:spacing w:after="50"/>
        <w:ind w:left="312" w:hanging="102"/>
      </w:pPr>
      <w:r>
        <w:rPr>
          <w:rFonts w:ascii="Inter" w:hAnsi="Inter"/>
        </w:rPr>
        <w:t>comprendre les moteurs économiques et structurels ;</w:t>
      </w:r>
    </w:p>
    <w:p>
      <w:pPr>
        <w:pStyle w:val="ListBullet"/>
        <w:spacing w:after="50"/>
        <w:ind w:left="312" w:hanging="102"/>
      </w:pPr>
      <w:r>
        <w:rPr>
          <w:rFonts w:ascii="Inter" w:hAnsi="Inter"/>
        </w:rPr>
        <w:t>réévaluer lorsque les hypothèses changent ;</w:t>
      </w:r>
    </w:p>
    <w:p>
      <w:pPr>
        <w:pStyle w:val="ListBullet"/>
        <w:spacing w:after="50"/>
        <w:ind w:left="312" w:hanging="102"/>
      </w:pPr>
      <w:r>
        <w:rPr>
          <w:rFonts w:ascii="Inter" w:hAnsi="Inter"/>
        </w:rPr>
        <w:t>ne pas considérer une décision prise aujourd’hui comme immuable pendant trente ans.</w:t>
      </w:r>
    </w:p>
    <w:p>
      <w:pPr>
        <w:pStyle w:val="Heading2"/>
        <w:keepNext/>
      </w:pPr>
      <w:r>
        <w:rPr>
          <w:rFonts w:ascii="Inter" w:hAnsi="Inter"/>
        </w:rPr>
        <w:t>4.2 Méthodologie CoverView</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0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Étape</w:t>
            </w:r>
          </w:p>
        </w:tc>
        <w:tc>
          <w:tcPr>
            <w:tcW w:type="dxa" w:w="413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Question</w:t>
            </w:r>
          </w:p>
        </w:tc>
        <w:tc>
          <w:tcPr>
            <w:tcW w:type="dxa" w:w="368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Résultat</w:t>
            </w:r>
          </w:p>
        </w:tc>
      </w:tr>
      <w:tr>
        <w:trPr>
          <w:cantSplit/>
        </w:trPr>
        <w:tc>
          <w:tcPr>
            <w:tcW w:type="dxa" w:w="170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 Analyse</w:t>
            </w:r>
          </w:p>
        </w:tc>
        <w:tc>
          <w:tcPr>
            <w:tcW w:type="dxa" w:w="413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Qu’avez-vous réellement et comment cela fonctionne-t-il ?</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Inventaire, extraction, compréhension du contrat</w:t>
            </w:r>
          </w:p>
        </w:tc>
      </w:tr>
      <w:tr>
        <w:trPr>
          <w:cantSplit/>
        </w:trPr>
        <w:tc>
          <w:tcPr>
            <w:tcW w:type="dxa" w:w="170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 Benchmark</w:t>
            </w:r>
          </w:p>
        </w:tc>
        <w:tc>
          <w:tcPr>
            <w:tcW w:type="dxa" w:w="413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Comment la solution se situe-t-elle par rapport au marché ?</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Comparaison structurée et cohorte pertinente</w:t>
            </w:r>
          </w:p>
        </w:tc>
      </w:tr>
      <w:tr>
        <w:trPr>
          <w:cantSplit/>
        </w:trPr>
        <w:tc>
          <w:tcPr>
            <w:tcW w:type="dxa" w:w="170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3. Stratégie</w:t>
            </w:r>
          </w:p>
        </w:tc>
        <w:tc>
          <w:tcPr>
            <w:tcW w:type="dxa" w:w="413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Quelle approche correspond à l’objectif, l’horizon et les contraintes ?</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Trajectoire et architecture de solution</w:t>
            </w:r>
          </w:p>
        </w:tc>
      </w:tr>
      <w:tr>
        <w:trPr>
          <w:cantSplit/>
        </w:trPr>
        <w:tc>
          <w:tcPr>
            <w:tcW w:type="dxa" w:w="170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 Mise en œuvre</w:t>
            </w:r>
          </w:p>
        </w:tc>
        <w:tc>
          <w:tcPr>
            <w:tcW w:type="dxa" w:w="413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Comment exécuter la décision correctement ?</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Documents, signatures, transfert ou adaptation</w:t>
            </w:r>
          </w:p>
        </w:tc>
      </w:tr>
      <w:tr>
        <w:trPr>
          <w:cantSplit/>
        </w:trPr>
        <w:tc>
          <w:tcPr>
            <w:tcW w:type="dxa" w:w="170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 Suivi</w:t>
            </w:r>
          </w:p>
        </w:tc>
        <w:tc>
          <w:tcPr>
            <w:tcW w:type="dxa" w:w="413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La stratégie reste-t-elle cohérente ?</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Monitoring, alertes, revues et rapports</w:t>
            </w:r>
          </w:p>
        </w:tc>
      </w:tr>
      <w:tr>
        <w:trPr>
          <w:cantSplit/>
        </w:trPr>
        <w:tc>
          <w:tcPr>
            <w:tcW w:type="dxa" w:w="170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 Réévaluation</w:t>
            </w:r>
          </w:p>
        </w:tc>
        <w:tc>
          <w:tcPr>
            <w:tcW w:type="dxa" w:w="413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Les hypothèses, le marché ou la situation ont-ils changé ?</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Adaptation documentée et nouvelle version</w:t>
            </w:r>
          </w:p>
        </w:tc>
      </w:tr>
    </w:tbl>
    <w:p>
      <w:pPr>
        <w:spacing w:after="0"/>
      </w:pPr>
    </w:p>
    <w:p>
      <w:pPr>
        <w:pStyle w:val="Heading1"/>
        <w:keepNext/>
      </w:pPr>
      <w:r>
        <w:rPr>
          <w:rFonts w:ascii="Inter" w:hAnsi="Inter"/>
        </w:rPr>
        <w:t>5. Marque personnelle, autorité et confiance</w:t>
      </w:r>
    </w:p>
    <w:p>
      <w:pPr/>
      <w:r>
        <w:rPr>
          <w:rFonts w:ascii="Inter" w:hAnsi="Inter"/>
          <w:i w:val="0"/>
        </w:rPr>
        <w:t>Le site doit présenter séparément CoverView et Sébastien Martin. Le prospect qui arrive par ChatGPT, Google, Instagram ou une recommandation doit comprendre en quelques minutes qui porte la méthode, d’où vient l’expertise et pourquoi cette combinaison de compétences est différente.</w:t>
      </w:r>
    </w:p>
    <w:p>
      <w:pPr>
        <w:pStyle w:val="Heading2"/>
        <w:keepNext/>
      </w:pPr>
      <w:r>
        <w:rPr>
          <w:rFonts w:ascii="Inter" w:hAnsi="Inter"/>
        </w:rPr>
        <w:t>5.1 Page « Sébastien Martin »</w:t>
      </w:r>
    </w:p>
    <w:p>
      <w:pPr>
        <w:pStyle w:val="ListBullet"/>
        <w:spacing w:after="50"/>
        <w:ind w:left="312" w:hanging="102"/>
      </w:pPr>
      <w:r>
        <w:rPr>
          <w:rFonts w:ascii="Inter" w:hAnsi="Inter"/>
        </w:rPr>
        <w:t>parcours initial en développement d’applications et ingénierie logicielle ;</w:t>
      </w:r>
    </w:p>
    <w:p>
      <w:pPr>
        <w:pStyle w:val="ListBullet"/>
        <w:spacing w:after="50"/>
        <w:ind w:left="312" w:hanging="102"/>
      </w:pPr>
      <w:r>
        <w:rPr>
          <w:rFonts w:ascii="Inter" w:hAnsi="Inter"/>
        </w:rPr>
        <w:t>expérience produit, UX, business analysis et conception de systèmes ;</w:t>
      </w:r>
    </w:p>
    <w:p>
      <w:pPr>
        <w:pStyle w:val="ListBullet"/>
        <w:spacing w:after="50"/>
        <w:ind w:left="312" w:hanging="102"/>
      </w:pPr>
      <w:r>
        <w:rPr>
          <w:rFonts w:ascii="Inter" w:hAnsi="Inter"/>
        </w:rPr>
        <w:t>passion pour la finance et l’investissement depuis le début des années 2020 ;</w:t>
      </w:r>
    </w:p>
    <w:p>
      <w:pPr>
        <w:pStyle w:val="ListBullet"/>
        <w:spacing w:after="50"/>
        <w:ind w:left="312" w:hanging="102"/>
      </w:pPr>
      <w:r>
        <w:rPr>
          <w:rFonts w:ascii="Inter" w:hAnsi="Inter"/>
        </w:rPr>
        <w:t>évolution vers l’assurance, la prévoyance et le conseil ;</w:t>
      </w:r>
    </w:p>
    <w:p>
      <w:pPr>
        <w:pStyle w:val="ListBullet"/>
        <w:spacing w:after="50"/>
        <w:ind w:left="312" w:hanging="102"/>
      </w:pPr>
      <w:r>
        <w:rPr>
          <w:rFonts w:ascii="Inter" w:hAnsi="Inter"/>
        </w:rPr>
        <w:t>problèmes de marché observés : opacité, manque de suivi, comparaisons faibles, outils insuffisants ;</w:t>
      </w:r>
    </w:p>
    <w:p>
      <w:pPr>
        <w:pStyle w:val="ListBullet"/>
        <w:spacing w:after="50"/>
        <w:ind w:left="312" w:hanging="102"/>
      </w:pPr>
      <w:r>
        <w:rPr>
          <w:rFonts w:ascii="Inter" w:hAnsi="Inter"/>
        </w:rPr>
        <w:t>raison de la création de CoverView ;</w:t>
      </w:r>
    </w:p>
    <w:p>
      <w:pPr>
        <w:pStyle w:val="ListBullet"/>
        <w:spacing w:after="50"/>
        <w:ind w:left="312" w:hanging="102"/>
      </w:pPr>
      <w:r>
        <w:rPr>
          <w:rFonts w:ascii="Inter" w:hAnsi="Inter"/>
        </w:rPr>
        <w:t>sujets traités sur Instagram : finance, investissement, économie, prévoyance, assurance, IA et business.</w:t>
      </w:r>
    </w:p>
    <w:p>
      <w:pPr>
        <w:pStyle w:val="Heading2"/>
        <w:keepNext/>
      </w:pPr>
      <w:r>
        <w:rPr>
          <w:rFonts w:ascii="Inter" w:hAnsi="Inter"/>
        </w:rPr>
        <w:t>5.2 Track record et preuves</w:t>
      </w:r>
    </w:p>
    <w:p>
      <w:pPr/>
      <w:r>
        <w:rPr>
          <w:rFonts w:ascii="Inter" w:hAnsi="Inter"/>
          <w:i w:val="0"/>
        </w:rPr>
        <w:t>Un module de track record peut être publié, mais chaque chiffre doit être daté, sourcé, méthodologiquement défini et accompagné des limites nécessaires. Il faut distinguer performance d’une allocation, performance moyenne des stratégies suivies, période de calcul, devise, frais et univers concerné. Aucun chiffre ne doit être présenté comme une promesse de rendement futur.</w:t>
      </w:r>
    </w:p>
    <w:p>
      <w:pPr>
        <w:pStyle w:val="ListBullet"/>
        <w:spacing w:after="50"/>
        <w:ind w:left="312" w:hanging="102"/>
      </w:pPr>
      <w:r>
        <w:rPr>
          <w:rFonts w:ascii="Inter" w:hAnsi="Inter"/>
        </w:rPr>
        <w:t>études de cas anonymisées ;</w:t>
      </w:r>
    </w:p>
    <w:p>
      <w:pPr>
        <w:pStyle w:val="ListBullet"/>
        <w:spacing w:after="50"/>
        <w:ind w:left="312" w:hanging="102"/>
      </w:pPr>
      <w:r>
        <w:rPr>
          <w:rFonts w:ascii="Inter" w:hAnsi="Inter"/>
        </w:rPr>
        <w:t>extraits de rapports ;</w:t>
      </w:r>
    </w:p>
    <w:p>
      <w:pPr>
        <w:pStyle w:val="ListBullet"/>
        <w:spacing w:after="50"/>
        <w:ind w:left="312" w:hanging="102"/>
      </w:pPr>
      <w:r>
        <w:rPr>
          <w:rFonts w:ascii="Inter" w:hAnsi="Inter"/>
        </w:rPr>
        <w:t>méthodologie de calcul ;</w:t>
      </w:r>
    </w:p>
    <w:p>
      <w:pPr>
        <w:pStyle w:val="ListBullet"/>
        <w:spacing w:after="50"/>
        <w:ind w:left="312" w:hanging="102"/>
      </w:pPr>
      <w:r>
        <w:rPr>
          <w:rFonts w:ascii="Inter" w:hAnsi="Inter"/>
        </w:rPr>
        <w:t>presse, interviews et apparitions ;</w:t>
      </w:r>
    </w:p>
    <w:p>
      <w:pPr>
        <w:pStyle w:val="ListBullet"/>
        <w:spacing w:after="50"/>
        <w:ind w:left="312" w:hanging="102"/>
      </w:pPr>
      <w:r>
        <w:rPr>
          <w:rFonts w:ascii="Inter" w:hAnsi="Inter"/>
        </w:rPr>
        <w:t>statut légal, coordonnées et informations de confiance à jour ;</w:t>
      </w:r>
    </w:p>
    <w:p>
      <w:pPr>
        <w:pStyle w:val="ListBullet"/>
        <w:spacing w:after="50"/>
        <w:ind w:left="312" w:hanging="102"/>
      </w:pPr>
      <w:r>
        <w:rPr>
          <w:rFonts w:ascii="Inter" w:hAnsi="Inter"/>
        </w:rPr>
        <w:t>témoignages et avis, lorsque publiables.</w:t>
      </w:r>
    </w:p>
    <w:p>
      <w:pPr>
        <w:pStyle w:val="Heading1"/>
        <w:keepNext/>
      </w:pPr>
      <w:r>
        <w:rPr>
          <w:rFonts w:ascii="Inter" w:hAnsi="Inter"/>
        </w:rPr>
        <w:t>6. Philosophie commerciale et conversion</w:t>
      </w:r>
    </w:p>
    <w:p>
      <w:pPr/>
      <w:r>
        <w:rPr>
          <w:rFonts w:ascii="Inter" w:hAnsi="Inter"/>
          <w:i w:val="0"/>
        </w:rPr>
        <w:t>Le visiteur ne doit pas être poussé trop tôt vers un rendez-vous. La valeur doit précéder la vente. Le bon résultat commercial est obtenu lorsque la personne arrive d’elle-même à la conclusion qu’un écart, une lacune ou un potentiel mérite une validation par un expert.</w:t>
      </w:r>
    </w:p>
    <w:p>
      <w:pPr>
        <w:pStyle w:val="Heading2"/>
        <w:keepNext/>
      </w:pPr>
      <w:r>
        <w:rPr>
          <w:rFonts w:ascii="Inter" w:hAnsi="Inter"/>
        </w:rPr>
        <w:t>6.1 Deux familles de CTA</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70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CTA produit</w:t>
            </w:r>
          </w:p>
        </w:tc>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CTA commerciaux</w:t>
            </w:r>
          </w:p>
        </w:tc>
      </w:tr>
      <w:tr>
        <w:trPr>
          <w:cantSplit/>
        </w:trPr>
        <w:tc>
          <w:tcPr>
            <w:tcW w:type="dxa" w:w="470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Analyser, comprendre, comparer, simuler, modifier, affiner, calculer, explorer</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Faire vérifier par un expert, parler à un expert, demander une proposition</w:t>
            </w:r>
          </w:p>
        </w:tc>
      </w:tr>
      <w:tr>
        <w:trPr>
          <w:cantSplit/>
        </w:trPr>
        <w:tc>
          <w:tcPr>
            <w:tcW w:type="dxa" w:w="470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Nombreux et contextuels</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Rares et placés après la démonstration de valeur</w:t>
            </w:r>
          </w:p>
        </w:tc>
      </w:tr>
      <w:tr>
        <w:trPr>
          <w:cantSplit/>
        </w:trPr>
        <w:tc>
          <w:tcPr>
            <w:tcW w:type="dxa" w:w="470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Font progresser dans l’expérience</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Transforment une conviction déjà construite en prise de contact</w:t>
            </w:r>
          </w:p>
        </w:tc>
      </w:tr>
    </w:tbl>
    <w:p>
      <w:pPr>
        <w:spacing w:after="0"/>
      </w:pPr>
    </w:p>
    <w:p>
      <w:pPr>
        <w:pStyle w:val="Heading2"/>
        <w:keepNext/>
      </w:pPr>
      <w:r>
        <w:rPr>
          <w:rFonts w:ascii="Inter" w:hAnsi="Inter"/>
        </w:rPr>
        <w:t>6.2 Placement recommandé</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51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Moment</w:t>
            </w:r>
          </w:p>
        </w:tc>
        <w:tc>
          <w:tcPr>
            <w:tcW w:type="dxa" w:w="601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CTA</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Avant le résultat</w:t>
            </w:r>
          </w:p>
        </w:tc>
        <w:tc>
          <w:tcPr>
            <w:tcW w:type="dxa" w:w="601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Aucun CTA commercial</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Investment Age</w:t>
            </w:r>
          </w:p>
        </w:tc>
        <w:tc>
          <w:tcPr>
            <w:tcW w:type="dxa" w:w="601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Comprendre pourquoi</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 Score</w:t>
            </w:r>
          </w:p>
        </w:tc>
        <w:tc>
          <w:tcPr>
            <w:tcW w:type="dxa" w:w="601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Voir les détails</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Target Age</w:t>
            </w:r>
          </w:p>
        </w:tc>
        <w:tc>
          <w:tcPr>
            <w:tcW w:type="dxa" w:w="601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Peut-on revenir à 65 ans ?</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Optimisation</w:t>
            </w:r>
          </w:p>
        </w:tc>
        <w:tc>
          <w:tcPr>
            <w:tcW w:type="dxa" w:w="601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Explorer les stratégies</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Comparateur</w:t>
            </w:r>
          </w:p>
        </w:tc>
        <w:tc>
          <w:tcPr>
            <w:tcW w:type="dxa" w:w="601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Faire valider mon analyse</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Audit complet</w:t>
            </w:r>
          </w:p>
        </w:tc>
        <w:tc>
          <w:tcPr>
            <w:tcW w:type="dxa" w:w="601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Recevoir une proposition personnalisée</w:t>
            </w:r>
          </w:p>
        </w:tc>
      </w:tr>
    </w:tbl>
    <w:p>
      <w:pPr>
        <w:spacing w:after="0"/>
      </w:pP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II</w:t>
            </w:r>
          </w:p>
          <w:p>
            <w:pPr>
              <w:spacing w:after="0"/>
            </w:pPr>
            <w:r>
              <w:rPr>
                <w:rFonts w:ascii="Inter" w:hAnsi="Inter"/>
                <w:color w:val="E7E8FF"/>
                <w:sz w:val="20"/>
              </w:rPr>
              <w:t>Écosystème applicatif et architecture commune</w:t>
            </w:r>
          </w:p>
        </w:tc>
      </w:tr>
    </w:tbl>
    <w:p>
      <w:pPr>
        <w:spacing w:after="0"/>
      </w:pPr>
    </w:p>
    <w:p>
      <w:pPr>
        <w:pStyle w:val="Heading1"/>
        <w:keepNext/>
      </w:pPr>
      <w:r>
        <w:rPr>
          <w:rFonts w:ascii="Inter" w:hAnsi="Inter"/>
        </w:rPr>
        <w:t>7. Carte de l’écosystème</w:t>
      </w:r>
    </w:p>
    <w:p>
      <w:pPr>
        <w:spacing w:after="60"/>
        <w:jc w:val="center"/>
      </w:pPr>
      <w:r>
        <w:rPr>
          <w:rFonts w:ascii="Inter" w:hAnsi="Inter"/>
        </w:rPr>
        <w:drawing>
          <wp:inline xmlns:a="http://schemas.openxmlformats.org/drawingml/2006/main" xmlns:pic="http://schemas.openxmlformats.org/drawingml/2006/picture">
            <wp:extent cx="6263999" cy="1352285"/>
            <wp:docPr id="1" name="Picture 1" descr="Une plateforme, une source de vérité et plusieurs expériences spécialisées." title="Une plateforme, une source de vérité et plusieurs expériences spécialisées."/>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63999" cy="1352285"/>
                    </a:xfrm>
                    <a:prstGeom prst="rect"/>
                  </pic:spPr>
                </pic:pic>
              </a:graphicData>
            </a:graphic>
          </wp:inline>
        </w:drawing>
      </w:r>
    </w:p>
    <w:p>
      <w:pPr>
        <w:pStyle w:val="CoverViewSmall"/>
        <w:jc w:val="center"/>
      </w:pPr>
      <w:r>
        <w:rPr>
          <w:rFonts w:ascii="Inter" w:hAnsi="Inter"/>
          <w:i/>
          <w:color w:val="5F667A"/>
          <w:sz w:val="16"/>
        </w:rPr>
        <w:t>Une plateforme, une source de vérité et plusieurs expériences spécialisées.</w:t>
      </w:r>
    </w:p>
    <w:tbl>
      <w:tblPr>
        <w:tblW w:type="auto" w:w="0"/>
        <w:jc w:val="center"/>
        <w:tblLayout w:type="autofit"/>
        <w:tblLook w:firstColumn="1" w:firstRow="1" w:lastColumn="0" w:lastRow="0" w:noHBand="0" w:noVBand="1" w:val="04A0"/>
      </w:tblPr>
      <w:tblGrid>
        <w:gridCol w:w="9978"/>
      </w:tblGrid>
      <w:tr>
        <w:tc>
          <w:tcPr>
            <w:tcW w:type="dxa" w:w="9978"/>
            <w:shd w:fill="DDF5EA" w:val="clear"/>
            <w:tcBorders>
              <w:top w:sz="8" w:val="single" w:color="4A9D78"/>
              <w:left w:sz="16" w:val="single" w:color="4A9D78"/>
              <w:bottom w:sz="8" w:val="single" w:color="4A9D78"/>
              <w:right w:sz="8" w:val="single" w:color="4A9D78"/>
            </w:tcBorders>
            <w:tcMar>
              <w:top w:w="130" w:type="dxa"/>
              <w:start w:w="170" w:type="dxa"/>
              <w:bottom w:w="130" w:type="dxa"/>
              <w:end w:w="150" w:type="dxa"/>
            </w:tcMar>
          </w:tcPr>
          <w:p>
            <w:pPr>
              <w:spacing w:after="40"/>
            </w:pPr>
            <w:r>
              <w:rPr>
                <w:rFonts w:ascii="Inter" w:hAnsi="Inter"/>
                <w:b/>
                <w:color w:val="25265E"/>
                <w:sz w:val="19"/>
              </w:rPr>
              <w:t>Principe d’architecture</w:t>
            </w:r>
          </w:p>
          <w:p>
            <w:pPr>
              <w:spacing w:after="0"/>
            </w:pPr>
            <w:r>
              <w:rPr>
                <w:rFonts w:ascii="Inter" w:hAnsi="Inter"/>
                <w:color w:val="1A1D2B"/>
                <w:sz w:val="18"/>
              </w:rPr>
              <w:t>Même base de données métier, mêmes services communs, identifiants canoniques partagés. Les applications ne se synchronisent pas entre elles : elles lisent et écrivent la même plateforme par l’intermédiaire de l’API.</w:t>
            </w:r>
          </w:p>
        </w:tc>
      </w:tr>
    </w:tbl>
    <w:p>
      <w:pPr>
        <w:spacing w:after="0"/>
      </w:pPr>
    </w:p>
    <w:p>
      <w:pPr>
        <w:pStyle w:val="Heading1"/>
        <w:keepNext/>
      </w:pPr>
      <w:r>
        <w:rPr>
          <w:rFonts w:ascii="Inter" w:hAnsi="Inter"/>
        </w:rPr>
        <w:t>8. Une seule base de données commune</w:t>
      </w:r>
    </w:p>
    <w:p>
      <w:pPr/>
      <w:r>
        <w:rPr>
          <w:rFonts w:ascii="Inter" w:hAnsi="Inter"/>
          <w:i w:val="0"/>
        </w:rPr>
        <w:t>Les applications principales doivent utiliser la même base de données PostgreSQL, compatible avec le socle existant Fastify, Drizzle et PostgreSQL. Cette base est organisée en domaines ou schémas afin d’éviter un monolithe désordonné, mais elle reste une source de vérité commune.</w:t>
      </w:r>
    </w:p>
    <w:p>
      <w:pPr/>
      <w:r>
        <w:rPr>
          <w:rFonts w:ascii="Inter" w:hAnsi="Inter"/>
          <w:i w:val="0"/>
        </w:rPr>
        <w:t>Le fait de partager une base ne signifie pas que chaque frontend possède un accès direct aux tables. Le chemin obligatoire est :</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Astro / React / Admin / Partners / Intelligence</w:t>
            </w:r>
            <w:r>
              <w:br/>
            </w:r>
            <w:r>
              <w:rPr>
                <w:rFonts w:ascii="DejaVu Sans Mono" w:hAnsi="DejaVu Sans Mono"/>
                <w:color w:val="1A1D2B"/>
                <w:sz w:val="16"/>
              </w:rPr>
              <w:t xml:space="preserve">                    |</w:t>
            </w:r>
            <w:r>
              <w:br/>
            </w:r>
            <w:r>
              <w:rPr>
                <w:rFonts w:ascii="DejaVu Sans Mono" w:hAnsi="DejaVu Sans Mono"/>
                <w:color w:val="1A1D2B"/>
                <w:sz w:val="16"/>
              </w:rPr>
              <w:t xml:space="preserve">              CoverView API</w:t>
            </w:r>
            <w:r>
              <w:br/>
            </w:r>
            <w:r>
              <w:rPr>
                <w:rFonts w:ascii="DejaVu Sans Mono" w:hAnsi="DejaVu Sans Mono"/>
                <w:color w:val="1A1D2B"/>
                <w:sz w:val="16"/>
              </w:rPr>
              <w:t xml:space="preserve">                    |</w:t>
            </w:r>
            <w:r>
              <w:br/>
            </w:r>
            <w:r>
              <w:rPr>
                <w:rFonts w:ascii="DejaVu Sans Mono" w:hAnsi="DejaVu Sans Mono"/>
                <w:color w:val="1A1D2B"/>
                <w:sz w:val="16"/>
              </w:rPr>
              <w:t xml:space="preserve">        Règles métier + permissions</w:t>
            </w:r>
            <w:r>
              <w:br/>
            </w:r>
            <w:r>
              <w:rPr>
                <w:rFonts w:ascii="DejaVu Sans Mono" w:hAnsi="DejaVu Sans Mono"/>
                <w:color w:val="1A1D2B"/>
                <w:sz w:val="16"/>
              </w:rPr>
              <w:t xml:space="preserve">                    |</w:t>
            </w:r>
            <w:r>
              <w:br/>
            </w:r>
            <w:r>
              <w:rPr>
                <w:rFonts w:ascii="DejaVu Sans Mono" w:hAnsi="DejaVu Sans Mono"/>
                <w:color w:val="1A1D2B"/>
                <w:sz w:val="16"/>
              </w:rPr>
              <w:t xml:space="preserve">          PostgreSQL + stockage docs</w:t>
            </w:r>
          </w:p>
        </w:tc>
      </w:tr>
    </w:tbl>
    <w:p>
      <w:pPr>
        <w:spacing w:after="0"/>
      </w:pPr>
    </w:p>
    <w:p>
      <w:pPr>
        <w:pStyle w:val="ListBullet"/>
        <w:spacing w:after="50"/>
        <w:ind w:left="312" w:hanging="102"/>
      </w:pPr>
      <w:r>
        <w:rPr>
          <w:rFonts w:ascii="Inter" w:hAnsi="Inter"/>
        </w:rPr>
        <w:t>les règles de validation restent identiques partout ;</w:t>
      </w:r>
    </w:p>
    <w:p>
      <w:pPr>
        <w:pStyle w:val="ListBullet"/>
        <w:spacing w:after="50"/>
        <w:ind w:left="312" w:hanging="102"/>
      </w:pPr>
      <w:r>
        <w:rPr>
          <w:rFonts w:ascii="Inter" w:hAnsi="Inter"/>
        </w:rPr>
        <w:t>les droits d’accès sont contrôlés avant toute lecture ou écriture ;</w:t>
      </w:r>
    </w:p>
    <w:p>
      <w:pPr>
        <w:pStyle w:val="ListBullet"/>
        <w:spacing w:after="50"/>
        <w:ind w:left="312" w:hanging="102"/>
      </w:pPr>
      <w:r>
        <w:rPr>
          <w:rFonts w:ascii="Inter" w:hAnsi="Inter"/>
        </w:rPr>
        <w:t>les journaux d’activité sont centralisés ;</w:t>
      </w:r>
    </w:p>
    <w:p>
      <w:pPr>
        <w:pStyle w:val="ListBullet"/>
        <w:spacing w:after="50"/>
        <w:ind w:left="312" w:hanging="102"/>
      </w:pPr>
      <w:r>
        <w:rPr>
          <w:rFonts w:ascii="Inter" w:hAnsi="Inter"/>
        </w:rPr>
        <w:t>les mêmes identifiants sont réutilisés dans toutes les applications ;</w:t>
      </w:r>
    </w:p>
    <w:p>
      <w:pPr>
        <w:pStyle w:val="ListBullet"/>
        <w:spacing w:after="50"/>
        <w:ind w:left="312" w:hanging="102"/>
      </w:pPr>
      <w:r>
        <w:rPr>
          <w:rFonts w:ascii="Inter" w:hAnsi="Inter"/>
        </w:rPr>
        <w:t>une correction de donnée n’a pas besoin d’être répliquée entre plusieurs bases.</w:t>
      </w:r>
    </w:p>
    <w:p>
      <w:pPr>
        <w:pStyle w:val="Heading1"/>
        <w:keepNext/>
      </w:pPr>
      <w:r>
        <w:rPr>
          <w:rFonts w:ascii="Inter" w:hAnsi="Inter"/>
        </w:rPr>
        <w:t>9. Identité, compte et continuité entre domaines</w:t>
      </w:r>
    </w:p>
    <w:p>
      <w:pPr/>
      <w:r>
        <w:rPr>
          <w:rFonts w:ascii="Inter" w:hAnsi="Inter"/>
          <w:i w:val="0"/>
        </w:rPr>
        <w:t>Un utilisateur doit disposer d’un compte CoverView unique. Une personne connectée sur coverview.ch doit pouvoir accéder à wallet.coverview.ch sans refaire l’authentification, et inversement. Le mécanisme peut être fondé sur un fournisseur d’identité commun, des sessions sécurisées first-party et un protocole standard de type OIDC/OAuth avec PKCE.</w:t>
      </w:r>
    </w:p>
    <w:p>
      <w:pPr>
        <w:pStyle w:val="ListBullet"/>
        <w:spacing w:after="50"/>
        <w:ind w:left="312" w:hanging="102"/>
      </w:pPr>
      <w:r>
        <w:rPr>
          <w:rFonts w:ascii="Inter" w:hAnsi="Inter"/>
        </w:rPr>
        <w:t>profil unique et données personnelles centrales ;</w:t>
      </w:r>
    </w:p>
    <w:p>
      <w:pPr>
        <w:pStyle w:val="ListBullet"/>
        <w:spacing w:after="50"/>
        <w:ind w:left="312" w:hanging="102"/>
      </w:pPr>
      <w:r>
        <w:rPr>
          <w:rFonts w:ascii="Inter" w:hAnsi="Inter"/>
        </w:rPr>
        <w:t>rôles multiples possibles pour une même identité ;</w:t>
      </w:r>
    </w:p>
    <w:p>
      <w:pPr>
        <w:pStyle w:val="ListBullet"/>
        <w:spacing w:after="50"/>
        <w:ind w:left="312" w:hanging="102"/>
      </w:pPr>
      <w:r>
        <w:rPr>
          <w:rFonts w:ascii="Inter" w:hAnsi="Inter"/>
        </w:rPr>
        <w:t>connexion email/OTP, SMS ou passkey selon les capacités retenues ;</w:t>
      </w:r>
    </w:p>
    <w:p>
      <w:pPr>
        <w:pStyle w:val="ListBullet"/>
        <w:spacing w:after="50"/>
        <w:ind w:left="312" w:hanging="102"/>
      </w:pPr>
      <w:r>
        <w:rPr>
          <w:rFonts w:ascii="Inter" w:hAnsi="Inter"/>
        </w:rPr>
        <w:t>session anonyme temporaire pouvant être rattachée à un compte après création ;</w:t>
      </w:r>
    </w:p>
    <w:p>
      <w:pPr>
        <w:pStyle w:val="ListBullet"/>
        <w:spacing w:after="50"/>
        <w:ind w:left="312" w:hanging="102"/>
      </w:pPr>
      <w:r>
        <w:rPr>
          <w:rFonts w:ascii="Inter" w:hAnsi="Inter"/>
        </w:rPr>
        <w:t>consentements et conditions versionnés ;</w:t>
      </w:r>
    </w:p>
    <w:p>
      <w:pPr>
        <w:pStyle w:val="ListBullet"/>
        <w:spacing w:after="50"/>
        <w:ind w:left="312" w:hanging="102"/>
      </w:pPr>
      <w:r>
        <w:rPr>
          <w:rFonts w:ascii="Inter" w:hAnsi="Inter"/>
        </w:rPr>
        <w:t>déconnexion globale et gestion des appareils.</w:t>
      </w:r>
    </w:p>
    <w:p>
      <w:pPr>
        <w:pStyle w:val="Heading1"/>
        <w:keepNext/>
      </w:pPr>
      <w:r>
        <w:rPr>
          <w:rFonts w:ascii="Inter" w:hAnsi="Inter"/>
        </w:rPr>
        <w:t>10. Applications et responsabilités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47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Application</w:t>
            </w:r>
          </w:p>
        </w:tc>
        <w:tc>
          <w:tcPr>
            <w:tcW w:type="dxa" w:w="283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Responsabilités principales</w:t>
            </w:r>
          </w:p>
        </w:tc>
        <w:tc>
          <w:tcPr>
            <w:tcW w:type="dxa" w:w="272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Écritures typiques</w:t>
            </w:r>
          </w:p>
        </w:tc>
        <w:tc>
          <w:tcPr>
            <w:tcW w:type="dxa" w:w="272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Lectures typiques</w:t>
            </w:r>
          </w:p>
        </w:tc>
      </w:tr>
      <w:tr>
        <w:trPr>
          <w:cantSplit/>
        </w:trPr>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Site Astro</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Acquisition, pages, contenus, outils publics, démarches, partage</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Sessions anonymes, demandes, simulations, favoris après connexion</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Données publiques de catalogue, profils connectés, résultats</w:t>
            </w:r>
          </w:p>
        </w:tc>
      </w:tr>
      <w:tr>
        <w:trPr>
          <w:cantSplit/>
        </w:trPr>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Wallet React</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Espace client, contrats, analyses, assistant de couverture, dossiers, suivi, documents, carte digitale, Miles et récompenses</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Préférences, confirmations, uploads, questions, demandes de support, objectifs, redemptions et activation de carte</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Contrats, CGA, preuves, produits, audits, simulations, timeline, solde Miles, récompenses et avantages</w:t>
            </w:r>
          </w:p>
        </w:tc>
      </w:tr>
      <w:tr>
        <w:trPr>
          <w:cantSplit/>
        </w:trPr>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Admin</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4"/>
              </w:rPr>
              <w:t>CRM, vue client 360, projets et dossiers, tâches et Kanban, Gmail/Calendar, dashboards, catalogue, copilote IA, escalades de couverture, carte, Miles et rewards</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4"/>
              </w:rPr>
              <w:t>Leads, opportunités, clients, projets, tâches, activités, prévisions, catalogue, règles Miles, récompenses, cartes, commandes IA, transcriptions et validations</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4"/>
              </w:rPr>
              <w:t>Vue opérationnelle complète, timeline, inbox, calendrier, pipeline, revenus, données métier, fidélité et contexte autorisé pour les assistants</w:t>
            </w:r>
          </w:p>
        </w:tc>
      </w:tr>
      <w:tr>
        <w:trPr>
          <w:cantSplit/>
        </w:trPr>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Partners</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Portail apporteurs et partenaires d’avantages</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Leads, compléments autorisés, offres, validations de QR, redemptions et pièces de règlement</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Statuts limités, commissions, offres, avantages utilisés et paiements propres</w:t>
            </w:r>
          </w:p>
        </w:tc>
      </w:tr>
      <w:tr>
        <w:trPr>
          <w:cantSplit/>
        </w:trPr>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Intelligence</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Analyse professionnelle du marché</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Analyses et scénarios professionnels ; propositions de mise à jour selon rôle</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Catalogue détaillé, historiques, benchmarks, moteurs</w:t>
            </w:r>
          </w:p>
        </w:tc>
      </w:tr>
      <w:tr>
        <w:trPr>
          <w:cantSplit/>
        </w:trPr>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Exchange</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Domaine futur de risque paramétrique</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Positions, offres, événements, règlements</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Identité partagée et données explicitement autorisées</w:t>
            </w:r>
          </w:p>
        </w:tc>
      </w:tr>
    </w:tbl>
    <w:p>
      <w:pPr>
        <w:spacing w:after="0"/>
      </w:pPr>
    </w:p>
    <w:p>
      <w:pPr>
        <w:pStyle w:val="Heading1"/>
        <w:keepNext/>
      </w:pPr>
      <w:r>
        <w:rPr>
          <w:rFonts w:ascii="Inter" w:hAnsi="Inter"/>
        </w:rPr>
        <w:t>11. Services transversaux</w:t>
      </w:r>
    </w:p>
    <w:p>
      <w:pPr>
        <w:pStyle w:val="ListBullet"/>
        <w:spacing w:after="50"/>
        <w:ind w:left="312" w:hanging="102"/>
      </w:pPr>
      <w:r>
        <w:rPr>
          <w:rFonts w:ascii="Inter" w:hAnsi="Inter"/>
        </w:rPr>
        <w:t>Identity &amp; Access Service ;</w:t>
      </w:r>
    </w:p>
    <w:p>
      <w:pPr>
        <w:pStyle w:val="ListBullet"/>
        <w:spacing w:after="50"/>
        <w:ind w:left="312" w:hanging="102"/>
      </w:pPr>
      <w:r>
        <w:rPr>
          <w:rFonts w:ascii="Inter" w:hAnsi="Inter"/>
        </w:rPr>
        <w:t>Client/Profile Service ;</w:t>
      </w:r>
    </w:p>
    <w:p>
      <w:pPr>
        <w:pStyle w:val="ListBullet"/>
        <w:spacing w:after="50"/>
        <w:ind w:left="312" w:hanging="102"/>
      </w:pPr>
      <w:r>
        <w:rPr>
          <w:rFonts w:ascii="Inter" w:hAnsi="Inter"/>
        </w:rPr>
        <w:t>Catalog/Product Service ;</w:t>
      </w:r>
    </w:p>
    <w:p>
      <w:pPr>
        <w:pStyle w:val="ListBullet"/>
        <w:spacing w:after="50"/>
        <w:ind w:left="312" w:hanging="102"/>
      </w:pPr>
      <w:r>
        <w:rPr>
          <w:rFonts w:ascii="Inter" w:hAnsi="Inter"/>
        </w:rPr>
        <w:t>Contract Service ;</w:t>
      </w:r>
    </w:p>
    <w:p>
      <w:pPr>
        <w:pStyle w:val="ListBullet"/>
        <w:spacing w:after="50"/>
        <w:ind w:left="312" w:hanging="102"/>
      </w:pPr>
      <w:r>
        <w:rPr>
          <w:rFonts w:ascii="Inter" w:hAnsi="Inter"/>
        </w:rPr>
        <w:t>Document &amp; Object Storage Service ;</w:t>
      </w:r>
    </w:p>
    <w:p>
      <w:pPr>
        <w:pStyle w:val="ListBullet"/>
        <w:spacing w:after="50"/>
        <w:ind w:left="312" w:hanging="102"/>
      </w:pPr>
      <w:r>
        <w:rPr>
          <w:rFonts w:ascii="Inter" w:hAnsi="Inter"/>
        </w:rPr>
        <w:t>OCR / Document Intelligence Service ;</w:t>
      </w:r>
    </w:p>
    <w:p>
      <w:pPr>
        <w:pStyle w:val="ListBullet"/>
        <w:spacing w:after="50"/>
        <w:ind w:left="312" w:hanging="102"/>
      </w:pPr>
      <w:r>
        <w:rPr>
          <w:rFonts w:ascii="Inter" w:hAnsi="Inter"/>
        </w:rPr>
        <w:t>Electronic Signature Service ;</w:t>
      </w:r>
    </w:p>
    <w:p>
      <w:pPr>
        <w:pStyle w:val="ListBullet"/>
        <w:spacing w:after="50"/>
        <w:ind w:left="312" w:hanging="102"/>
      </w:pPr>
      <w:r>
        <w:rPr>
          <w:rFonts w:ascii="Inter" w:hAnsi="Inter"/>
        </w:rPr>
        <w:t>Mandate &amp; Power of Attorney Service ;</w:t>
      </w:r>
    </w:p>
    <w:p>
      <w:pPr>
        <w:pStyle w:val="ListBullet"/>
        <w:spacing w:after="50"/>
        <w:ind w:left="312" w:hanging="102"/>
      </w:pPr>
      <w:r>
        <w:rPr>
          <w:rFonts w:ascii="Inter" w:hAnsi="Inter"/>
        </w:rPr>
        <w:t>LPP Search Service ;</w:t>
      </w:r>
    </w:p>
    <w:p>
      <w:pPr>
        <w:pStyle w:val="ListBullet"/>
        <w:spacing w:after="50"/>
        <w:ind w:left="312" w:hanging="102"/>
      </w:pPr>
      <w:r>
        <w:rPr>
          <w:rFonts w:ascii="Inter" w:hAnsi="Inter"/>
        </w:rPr>
        <w:t>Contract Retrieval Service ;</w:t>
      </w:r>
    </w:p>
    <w:p>
      <w:pPr>
        <w:pStyle w:val="ListBullet"/>
        <w:spacing w:after="50"/>
        <w:ind w:left="312" w:hanging="102"/>
      </w:pPr>
      <w:r>
        <w:rPr>
          <w:rFonts w:ascii="Inter" w:hAnsi="Inter"/>
        </w:rPr>
        <w:t>Comparison, Benchmark and Scoring Services ;</w:t>
      </w:r>
    </w:p>
    <w:p>
      <w:pPr>
        <w:pStyle w:val="ListBullet"/>
        <w:spacing w:after="50"/>
        <w:ind w:left="312" w:hanging="102"/>
      </w:pPr>
      <w:r>
        <w:rPr>
          <w:rFonts w:ascii="Inter" w:hAnsi="Inter"/>
        </w:rPr>
        <w:t>Retirement, Simulation and Strategy Engines ;</w:t>
      </w:r>
    </w:p>
    <w:p>
      <w:pPr>
        <w:pStyle w:val="ListBullet"/>
        <w:spacing w:after="50"/>
        <w:ind w:left="312" w:hanging="102"/>
      </w:pPr>
      <w:r>
        <w:rPr>
          <w:rFonts w:ascii="Inter" w:hAnsi="Inter"/>
        </w:rPr>
        <w:t>Lead, Opportunity, CRM, Partner, Commission and Payment Services ;</w:t>
      </w:r>
    </w:p>
    <w:p>
      <w:pPr>
        <w:pStyle w:val="ListBullet"/>
        <w:spacing w:after="50"/>
        <w:ind w:left="312" w:hanging="102"/>
      </w:pPr>
      <w:r>
        <w:rPr>
          <w:rFonts w:ascii="Inter" w:hAnsi="Inter"/>
        </w:rPr>
        <w:t>Case, Project, Task, Checklist and Next Action Service ;</w:t>
      </w:r>
    </w:p>
    <w:p>
      <w:pPr>
        <w:pStyle w:val="ListBullet"/>
        <w:spacing w:after="50"/>
        <w:ind w:left="312" w:hanging="102"/>
      </w:pPr>
      <w:r>
        <w:rPr>
          <w:rFonts w:ascii="Inter" w:hAnsi="Inter"/>
        </w:rPr>
        <w:t>Activity Timeline, Gmail and Google Calendar Integration Service ;</w:t>
      </w:r>
    </w:p>
    <w:p>
      <w:pPr>
        <w:pStyle w:val="ListBullet"/>
        <w:spacing w:after="50"/>
        <w:ind w:left="312" w:hanging="102"/>
      </w:pPr>
      <w:r>
        <w:rPr>
          <w:rFonts w:ascii="Inter" w:hAnsi="Inter"/>
        </w:rPr>
        <w:t>Revenue, Pipeline, Goal and Forecasting Service ;</w:t>
      </w:r>
    </w:p>
    <w:p>
      <w:pPr>
        <w:pStyle w:val="ListBullet"/>
      </w:pPr>
      <w:r>
        <w:t>AI Orchestration, Context Assembly and Tool Gateway Service ;</w:t>
      </w:r>
    </w:p>
    <w:p>
      <w:pPr>
        <w:pStyle w:val="ListBullet"/>
      </w:pPr>
      <w:r>
        <w:t>Action Registry, Approval, Policy and Reversibility Service ;</w:t>
      </w:r>
    </w:p>
    <w:p>
      <w:pPr>
        <w:pStyle w:val="ListBullet"/>
      </w:pPr>
      <w:r>
        <w:t>Conversation, Prompt, Attachment and Internal Retrieval Service ;</w:t>
      </w:r>
    </w:p>
    <w:p>
      <w:pPr>
        <w:pStyle w:val="ListBullet"/>
      </w:pPr>
      <w:r>
        <w:t>Speech-to-Text, Voice Command and Dictation Service ;</w:t>
      </w:r>
    </w:p>
    <w:p>
      <w:pPr>
        <w:pStyle w:val="ListBullet"/>
        <w:spacing w:after="50"/>
        <w:ind w:left="312" w:hanging="102"/>
      </w:pPr>
      <w:r>
        <w:rPr>
          <w:rFonts w:ascii="Inter" w:hAnsi="Inter"/>
        </w:rPr>
        <w:t>Workflow, Job, Notification, Email and Audit Trail Services.</w:t>
      </w:r>
    </w:p>
    <w:p>
      <w:pPr>
        <w:pStyle w:val="ListBullet"/>
      </w:pPr>
      <w:r>
        <w:t>Coverage Question, Contract Retrieval &amp; Evidence Service ;</w:t>
      </w:r>
    </w:p>
    <w:p>
      <w:pPr>
        <w:pStyle w:val="ListBullet"/>
      </w:pPr>
      <w:r>
        <w:t>Client Support / Claim Assistance Case Service ;</w:t>
      </w:r>
    </w:p>
    <w:p>
      <w:pPr>
        <w:pStyle w:val="ListBullet"/>
      </w:pPr>
      <w:r>
        <w:t>Digital Membership Pass, Token, Update &amp; Revocation Service ;</w:t>
      </w:r>
    </w:p>
    <w:p>
      <w:pPr>
        <w:pStyle w:val="ListBullet"/>
      </w:pPr>
      <w:r>
        <w:t>Miles Ledger, Earning Rules, Tiers and Campaign Service ;</w:t>
      </w:r>
    </w:p>
    <w:p>
      <w:pPr>
        <w:pStyle w:val="ListBullet"/>
      </w:pPr>
      <w:r>
        <w:t>Rewards Catalog, Entitlement, Voucher, Redemption and Partner Settlement Service ;</w:t>
      </w:r>
    </w:p>
    <w:p>
      <w:pPr>
        <w:pStyle w:val="Heading1"/>
        <w:keepNext/>
      </w:pPr>
      <w:r>
        <w:rPr>
          <w:rFonts w:ascii="Inter" w:hAnsi="Inter"/>
        </w:rPr>
        <w:t>12. Exchange : domaine futur isolé</w:t>
      </w:r>
    </w:p>
    <w:p>
      <w:pPr/>
      <w:r>
        <w:rPr>
          <w:rFonts w:ascii="Inter" w:hAnsi="Inter"/>
          <w:i w:val="0"/>
        </w:rPr>
        <w:t>Exchange doit être anticipé dans la marque et l’identité, mais ne doit pas être intégré comme une fonctionnalité ordinaire du Wallet avant validation juridique et réglementaire. Selon la qualification retenue, le projet peut toucher à l’assurance, au transfert de risque, aux instruments financiers, au pari, à la gestion de fonds de tiers, au KYC/AML et à la protection du consommateur.</w:t>
      </w:r>
    </w:p>
    <w:p>
      <w:pPr>
        <w:pStyle w:val="Heading2"/>
        <w:keepNext/>
      </w:pPr>
      <w:r>
        <w:rPr>
          <w:rFonts w:ascii="Inter" w:hAnsi="Inter"/>
        </w:rPr>
        <w:t>12.1 Exemple conceptuel</w:t>
      </w:r>
    </w:p>
    <w:p>
      <w:pPr/>
      <w:r>
        <w:rPr>
          <w:rFonts w:ascii="Inter" w:hAnsi="Inter"/>
          <w:i w:val="0"/>
        </w:rPr>
        <w:t>Un vendeur de glaces veut se couvrir contre la pluie à un endroit et une période déterminés. Il définit une métrique officielle, un seuil et un montant de couverture de CHF 1’000. Des participants prennent chacun une fraction du risque, par exemple CHF 100. Si le paramètre ne se déclenche pas, ils récupèrent leur capital avec une rémunération prévue. S’il se déclenche, leur engagement finance la couverture.</w:t>
      </w:r>
    </w:p>
    <w:p>
      <w:pPr>
        <w:pStyle w:val="Heading2"/>
        <w:keepNext/>
      </w:pPr>
      <w:r>
        <w:rPr>
          <w:rFonts w:ascii="Inter" w:hAnsi="Inter"/>
        </w:rPr>
        <w:t>12.2 Séparation recommandée</w:t>
      </w:r>
    </w:p>
    <w:p>
      <w:pPr>
        <w:pStyle w:val="ListBullet"/>
        <w:spacing w:after="50"/>
        <w:ind w:left="312" w:hanging="102"/>
      </w:pPr>
      <w:r>
        <w:rPr>
          <w:rFonts w:ascii="Inter" w:hAnsi="Inter"/>
        </w:rPr>
        <w:t>ledger et settlement propres ;</w:t>
      </w:r>
    </w:p>
    <w:p>
      <w:pPr>
        <w:pStyle w:val="ListBullet"/>
        <w:spacing w:after="50"/>
        <w:ind w:left="312" w:hanging="102"/>
      </w:pPr>
      <w:r>
        <w:rPr>
          <w:rFonts w:ascii="Inter" w:hAnsi="Inter"/>
        </w:rPr>
        <w:t>positions, limites et événements immuables ;</w:t>
      </w:r>
    </w:p>
    <w:p>
      <w:pPr>
        <w:pStyle w:val="ListBullet"/>
        <w:spacing w:after="50"/>
        <w:ind w:left="312" w:hanging="102"/>
      </w:pPr>
      <w:r>
        <w:rPr>
          <w:rFonts w:ascii="Inter" w:hAnsi="Inter"/>
        </w:rPr>
        <w:t>données de métriques officielles et règles de déclenchement vérifiables ;</w:t>
      </w:r>
    </w:p>
    <w:p>
      <w:pPr>
        <w:pStyle w:val="ListBullet"/>
        <w:spacing w:after="50"/>
        <w:ind w:left="312" w:hanging="102"/>
      </w:pPr>
      <w:r>
        <w:rPr>
          <w:rFonts w:ascii="Inter" w:hAnsi="Inter"/>
        </w:rPr>
        <w:t>conformité et contrôles spécifiques ;</w:t>
      </w:r>
    </w:p>
    <w:p>
      <w:pPr>
        <w:pStyle w:val="ListBullet"/>
        <w:spacing w:after="50"/>
        <w:ind w:left="312" w:hanging="102"/>
      </w:pPr>
      <w:r>
        <w:rPr>
          <w:rFonts w:ascii="Inter" w:hAnsi="Inter"/>
        </w:rPr>
        <w:t>partage minimal de l’identité, avec interfaces explicitement autorisées ;</w:t>
      </w:r>
    </w:p>
    <w:p>
      <w:pPr>
        <w:pStyle w:val="ListBullet"/>
        <w:spacing w:after="50"/>
        <w:ind w:left="312" w:hanging="102"/>
      </w:pPr>
      <w:r>
        <w:rPr>
          <w:rFonts w:ascii="Inter" w:hAnsi="Inter"/>
        </w:rPr>
        <w:t>possibilité d’un stockage physique séparé si la conformité ou la sécurité l’exige.</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III</w:t>
            </w:r>
          </w:p>
          <w:p>
            <w:pPr>
              <w:spacing w:after="0"/>
            </w:pPr>
            <w:r>
              <w:rPr>
                <w:rFonts w:ascii="Inter" w:hAnsi="Inter"/>
                <w:color w:val="E7E8FF"/>
                <w:sz w:val="20"/>
              </w:rPr>
              <w:t>Données, gouvernance et source de vérité</w:t>
            </w:r>
          </w:p>
        </w:tc>
      </w:tr>
    </w:tbl>
    <w:p>
      <w:pPr>
        <w:spacing w:after="0"/>
      </w:pPr>
    </w:p>
    <w:p>
      <w:pPr>
        <w:pStyle w:val="Heading1"/>
        <w:keepNext/>
      </w:pPr>
      <w:r>
        <w:rPr>
          <w:rFonts w:ascii="Inter" w:hAnsi="Inter"/>
        </w:rPr>
        <w:t>13. Le catalogue appartient à CoverView Core</w:t>
      </w:r>
    </w:p>
    <w:p>
      <w:pPr/>
      <w:r>
        <w:rPr>
          <w:rFonts w:ascii="Inter" w:hAnsi="Inter"/>
          <w:i w:val="0"/>
        </w:rPr>
        <w:t>Les produits ne doivent pas être considérés comme « les données d’Intelligence ». Ils appartiennent à CoverView Core. Intelligence constitue l’interface la plus profonde pour les exploiter ; Admin est l’interface de création, de correction et de validation ; le site et Wallet consomment des vues adaptées.</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Une donnée métier n’existe qu’une seule fois. Sa visibilité et sa présentation varient ; son identité ne varie pas.</w:t>
            </w:r>
          </w:p>
        </w:tc>
      </w:tr>
    </w:tbl>
    <w:p>
      <w:pPr>
        <w:spacing w:after="0"/>
      </w:pPr>
    </w:p>
    <w:p>
      <w:pPr>
        <w:pStyle w:val="Heading1"/>
        <w:keepNext/>
      </w:pPr>
      <w:r>
        <w:rPr>
          <w:rFonts w:ascii="Inter" w:hAnsi="Inter"/>
        </w:rPr>
        <w:t>14. Produit et contrat client : distinction fondamentale</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70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Objet</w:t>
            </w:r>
          </w:p>
        </w:tc>
        <w:tc>
          <w:tcPr>
            <w:tcW w:type="dxa" w:w="323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Définition</w:t>
            </w:r>
          </w:p>
        </w:tc>
        <w:tc>
          <w:tcPr>
            <w:tcW w:type="dxa" w:w="260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c>
          <w:tcPr>
            <w:tcW w:type="dxa" w:w="209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Utilisation</w:t>
            </w:r>
          </w:p>
        </w:tc>
      </w:tr>
      <w:tr>
        <w:trPr>
          <w:cantSplit/>
        </w:trPr>
        <w:tc>
          <w:tcPr>
            <w:tcW w:type="dxa" w:w="170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Product</w:t>
            </w:r>
          </w:p>
        </w:tc>
        <w:tc>
          <w:tcPr>
            <w:tcW w:type="dxa" w:w="323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Définition générique d’une offre disponible sur le marché</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Produit 3a d’une compagnie, avec frais, fonds et conditions</w:t>
            </w:r>
          </w:p>
        </w:tc>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Catalogue, Intelligence, comparateurs, audit</w:t>
            </w:r>
          </w:p>
        </w:tc>
      </w:tr>
      <w:tr>
        <w:trPr>
          <w:cantSplit/>
        </w:trPr>
        <w:tc>
          <w:tcPr>
            <w:tcW w:type="dxa" w:w="170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w:t>
            </w:r>
          </w:p>
        </w:tc>
        <w:tc>
          <w:tcPr>
            <w:tcW w:type="dxa" w:w="323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Instance détenue par une personne</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Police n°123456 souscrite le 01.03.2022</w:t>
            </w:r>
          </w:p>
        </w:tc>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Wallet, Admin, audit client, documents</w:t>
            </w:r>
          </w:p>
        </w:tc>
      </w:tr>
      <w:tr>
        <w:trPr>
          <w:cantSplit/>
        </w:trPr>
        <w:tc>
          <w:tcPr>
            <w:tcW w:type="dxa" w:w="170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ProductVersion</w:t>
            </w:r>
          </w:p>
        </w:tc>
        <w:tc>
          <w:tcPr>
            <w:tcW w:type="dxa" w:w="323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Version datée du produit ou de certaines conditions</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Tarification 2024 puis tarification 2026</w:t>
            </w:r>
          </w:p>
        </w:tc>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Historique et calculs applicables à une période</w:t>
            </w:r>
          </w:p>
        </w:tc>
      </w:tr>
      <w:tr>
        <w:trPr>
          <w:cantSplit/>
        </w:trPr>
        <w:tc>
          <w:tcPr>
            <w:tcW w:type="dxa" w:w="170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ContractSnapshot</w:t>
            </w:r>
          </w:p>
        </w:tc>
        <w:tc>
          <w:tcPr>
            <w:tcW w:type="dxa" w:w="323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État contractuel retenu pour une analyse donnée</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Prime, allocation, valeurs et garanties au 04.09.2026</w:t>
            </w:r>
          </w:p>
        </w:tc>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Reproductibilité des rapports</w:t>
            </w:r>
          </w:p>
        </w:tc>
      </w:tr>
    </w:tbl>
    <w:p>
      <w:pPr>
        <w:spacing w:after="0"/>
      </w:pP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Contract.productId -&gt; Product.id</w:t>
            </w:r>
            <w:r>
              <w:br/>
            </w:r>
            <w:r>
              <w:rPr>
                <w:rFonts w:ascii="DejaVu Sans Mono" w:hAnsi="DejaVu Sans Mono"/>
                <w:color w:val="1A1D2B"/>
                <w:sz w:val="16"/>
              </w:rPr>
              <w:t>Contract.clientId  -&gt; Client.id</w:t>
            </w:r>
            <w:r>
              <w:br/>
            </w:r>
            <w:r>
              <w:rPr>
                <w:rFonts w:ascii="DejaVu Sans Mono" w:hAnsi="DejaVu Sans Mono"/>
                <w:color w:val="1A1D2B"/>
                <w:sz w:val="16"/>
              </w:rPr>
              <w:t>Audit.contractSnapshotId -&gt; ContractSnapshot.id</w:t>
            </w:r>
            <w:r>
              <w:br/>
            </w:r>
            <w:r>
              <w:rPr>
                <w:rFonts w:ascii="DejaVu Sans Mono" w:hAnsi="DejaVu Sans Mono"/>
                <w:color w:val="1A1D2B"/>
                <w:sz w:val="16"/>
              </w:rPr>
              <w:t>Audit.engineVersion -&gt; "contract-analysis/2.4.1"</w:t>
            </w:r>
          </w:p>
        </w:tc>
      </w:tr>
    </w:tbl>
    <w:p>
      <w:pPr>
        <w:spacing w:after="0"/>
      </w:pPr>
    </w:p>
    <w:p>
      <w:pPr/>
      <w:r>
        <w:rPr>
          <w:rFonts w:ascii="Inter" w:hAnsi="Inter"/>
          <w:i w:val="0"/>
        </w:rPr>
        <w:t>Lorsqu’un document arrive, CoverView doit identifier le produit canonique puis créer ou enrichir l’instance contractuelle du client. Le lien au produit permet d’hériter des connaissances générales ; les paramètres particuliers du client restent stockés sur le contrat ou dans ses versions.</w:t>
      </w:r>
    </w:p>
    <w:p>
      <w:pPr>
        <w:pStyle w:val="Heading1"/>
        <w:keepNext/>
      </w:pPr>
      <w:r>
        <w:rPr>
          <w:rFonts w:ascii="Inter" w:hAnsi="Inter"/>
        </w:rPr>
        <w:t>15. Domaines de données recommandés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Domaine / schéma</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Contenu principal</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identity</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utilisateurs, sessions, rôles, consentements, appareils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crm</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clients, prospects, ménages, relations, conseillers, préférences et vue 360</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catalog</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compagnies, produits, versions, fonds, allocations, frais, garanties, sources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contracts</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contrats clients, versions, conditions particulières, CGA applicables, clauses, valeurs, événements, bénéficiaires et couvertures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documents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métadonnées, classifications, extractions, signatures, preuves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analytics</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audits, scores, benchmarks, sous-scores, recommandations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simulations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inputs, hypothèses, versions, distributions, scénarios, caches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workflows</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dossiers/projets, demandes LPP, récupération de contrats, tâches, checklists, relances, statuts, SLA et exceptions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partners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partenaires, leads, attributions, commissions, paiements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content</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articles, FAQ, études de cas, pages, auteurs, publication</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audit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journal d’événements, accès, modifications, décisions</w:t>
            </w:r>
          </w:p>
        </w:tc>
      </w:tr>
      <w:tr>
        <w:tc>
          <w:tcPr>
            <w:tcW w:type="dxa" w:w="4989"/>
          </w:tcPr>
          <w:p>
            <w:pPr/>
            <w:r>
              <w:t>ai</w:t>
            </w:r>
          </w:p>
        </w:tc>
        <w:tc>
          <w:tcPr>
            <w:tcW w:type="dxa" w:w="4989"/>
          </w:tcPr>
          <w:p>
            <w:pPr/>
            <w:r>
              <w:t>conversations, messages, context bindings, commandes, actions proposées ou exécutées, appels d’outils, approbations, transcriptions, pièces jointes et traces de modèle</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exchange</w:t>
            </w:r>
          </w:p>
        </w:tc>
        <w:tc>
          <w:tcPr>
            <w:tcW w:type="dxa" w:w="73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réservé au domaine futur ou à un stockage séparé</w:t>
            </w:r>
          </w:p>
        </w:tc>
      </w:tr>
      <w:tr>
        <w:tc>
          <w:tcPr>
            <w:tcW w:type="dxa" w:w="4989"/>
          </w:tcPr>
          <w:p>
            <w:r>
              <w:t>sales</w:t>
            </w:r>
          </w:p>
        </w:tc>
        <w:tc>
          <w:tcPr>
            <w:tcW w:type="dxa" w:w="4989"/>
          </w:tcPr>
          <w:p>
            <w:r>
              <w:t>leads, opportunités, étapes, probabilités, revenus estimés, dates de clôture, objectifs et motifs de perte</w:t>
            </w:r>
          </w:p>
        </w:tc>
      </w:tr>
      <w:tr>
        <w:tc>
          <w:tcPr>
            <w:tcW w:type="dxa" w:w="4989"/>
          </w:tcPr>
          <w:p>
            <w:r>
              <w:t>activities</w:t>
            </w:r>
          </w:p>
        </w:tc>
        <w:tc>
          <w:tcPr>
            <w:tcW w:type="dxa" w:w="4989"/>
          </w:tcPr>
          <w:p>
            <w:r>
              <w:t>emails, threads, appels, réunions, événements calendrier, notes, pièces jointes et rattachements métier</w:t>
            </w:r>
          </w:p>
        </w:tc>
      </w:tr>
      <w:tr>
        <w:tc>
          <w:tcPr>
            <w:tcW w:type="dxa" w:w="4989"/>
          </w:tcPr>
          <w:p>
            <w:r>
              <w:t>reporting</w:t>
            </w:r>
          </w:p>
        </w:tc>
        <w:tc>
          <w:tcPr>
            <w:tcW w:type="dxa" w:w="4989"/>
          </w:tcPr>
          <w:p>
            <w:r>
              <w:t>revenus réalisés, prévisions pondérées, entonnoirs, objectifs, snapshots et agrégats de dashboards</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coverage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questions de couverture, scénarios, contrats candidats, preuves citées, réponses, niveau de confiance, informations manquantes et escalades</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support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demandes d’assistance, sinistres, dossiers, pièces, communications, statut, prochaine action et résolution</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loyalty</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comptes Miles, écritures de ledger, règles de gain, statuts pending/available/reversed, tiers, campagnes et expirations</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rewards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catalogue, offres partenaires, éligibilité, stock, entitlements, vouchers, redemptions, annulations et règlements</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passes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cartes digitales, instances de pass, jetons opaques, appareils, liens, mises à jour, suspension et révocation</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Plans retraite du foyer, versions, budgets par phase, options LPP, scénarios, règles Growth Cascade, indicateurs, décisions et monitoring ; références vers les données canoniques existantes.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commercial / accès aux services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Offres Retire, prix versionnés, commandes, paiements, crédits de montée en gamme et abonnements ; réutilisation des entitlements communs, sans ledger Miles parallèle.</w:t>
            </w:r>
          </w:p>
        </w:tc>
      </w:tr>
    </w:tbl>
    <w:p>
      <w:pPr>
        <w:spacing w:after="0"/>
      </w:pPr>
    </w:p>
    <w:p>
      <w:pPr>
        <w:pStyle w:val="Heading1"/>
        <w:keepNext/>
      </w:pPr>
      <w:r>
        <w:rPr>
          <w:rFonts w:ascii="Inter" w:hAnsi="Inter"/>
        </w:rPr>
        <w:t>16. Cycle de vie des données</w:t>
      </w:r>
    </w:p>
    <w:p>
      <w:pPr>
        <w:spacing w:after="60"/>
        <w:jc w:val="center"/>
      </w:pPr>
      <w:r>
        <w:rPr>
          <w:rFonts w:ascii="Inter" w:hAnsi="Inter"/>
        </w:rPr>
        <w:drawing>
          <wp:inline xmlns:a="http://schemas.openxmlformats.org/drawingml/2006/main" xmlns:pic="http://schemas.openxmlformats.org/drawingml/2006/picture">
            <wp:extent cx="6263999" cy="398730"/>
            <wp:docPr id="2" name="Picture 2" descr="Les données vivantes alimentent des calculs ; chaque résultat publié conserve son propre snapshot." title="Les données vivantes alimentent des calculs ; chaque résultat publié conserve son propre snapshot."/>
            <wp:cNvGraphicFramePr>
              <a:graphicFrameLocks noChangeAspect="1"/>
            </wp:cNvGraphicFramePr>
            <a:graphic>
              <a:graphicData uri="http://schemas.openxmlformats.org/drawingml/2006/picture">
                <pic:pic>
                  <pic:nvPicPr>
                    <pic:cNvPr id="0" name="data_lifecycle.png"/>
                    <pic:cNvPicPr/>
                  </pic:nvPicPr>
                  <pic:blipFill>
                    <a:blip r:embed="rId12"/>
                    <a:stretch>
                      <a:fillRect/>
                    </a:stretch>
                  </pic:blipFill>
                  <pic:spPr>
                    <a:xfrm>
                      <a:off x="0" y="0"/>
                      <a:ext cx="6263999" cy="398730"/>
                    </a:xfrm>
                    <a:prstGeom prst="rect"/>
                  </pic:spPr>
                </pic:pic>
              </a:graphicData>
            </a:graphic>
          </wp:inline>
        </w:drawing>
      </w:r>
    </w:p>
    <w:p>
      <w:pPr>
        <w:pStyle w:val="CoverViewSmall"/>
        <w:jc w:val="center"/>
      </w:pPr>
      <w:r>
        <w:rPr>
          <w:rFonts w:ascii="Inter" w:hAnsi="Inter"/>
          <w:i/>
          <w:color w:val="5F667A"/>
          <w:sz w:val="16"/>
        </w:rPr>
        <w:t>Les données vivantes alimentent des calculs ; chaque résultat publié conserve son propre snapshot.</w:t>
      </w:r>
    </w:p>
    <w:p>
      <w:pPr>
        <w:pStyle w:val="Heading2"/>
        <w:keepNext/>
      </w:pPr>
      <w:r>
        <w:rPr>
          <w:rFonts w:ascii="Inter" w:hAnsi="Inter"/>
        </w:rPr>
        <w:t>16.1 États de publication</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DRAFT -&gt; IN_REVIEW -&gt; VERIFIED -&gt; PUBLISHED -&gt; ARCHIVED</w:t>
            </w:r>
          </w:p>
        </w:tc>
      </w:tr>
    </w:tbl>
    <w:p>
      <w:pPr>
        <w:spacing w:after="0"/>
      </w:pPr>
    </w:p>
    <w:p>
      <w:pPr>
        <w:pStyle w:val="ListBullet"/>
        <w:spacing w:after="50"/>
        <w:ind w:left="312" w:hanging="102"/>
      </w:pPr>
      <w:r>
        <w:rPr>
          <w:rFonts w:ascii="Inter" w:hAnsi="Inter"/>
          <w:b/>
        </w:rPr>
        <w:t xml:space="preserve">DRAFT : </w:t>
      </w:r>
      <w:r>
        <w:rPr>
          <w:rFonts w:ascii="Inter" w:hAnsi="Inter"/>
        </w:rPr>
        <w:t>donnée partielle, non exposée aux clients ni au public.</w:t>
      </w:r>
    </w:p>
    <w:p>
      <w:pPr>
        <w:pStyle w:val="ListBullet"/>
        <w:spacing w:after="50"/>
        <w:ind w:left="312" w:hanging="102"/>
      </w:pPr>
      <w:r>
        <w:rPr>
          <w:rFonts w:ascii="Inter" w:hAnsi="Inter"/>
          <w:b/>
        </w:rPr>
        <w:t xml:space="preserve">IN_REVIEW : </w:t>
      </w:r>
      <w:r>
        <w:rPr>
          <w:rFonts w:ascii="Inter" w:hAnsi="Inter"/>
        </w:rPr>
        <w:t>donnée en contrôle ou en attente de source.</w:t>
      </w:r>
    </w:p>
    <w:p>
      <w:pPr>
        <w:pStyle w:val="ListBullet"/>
        <w:spacing w:after="50"/>
        <w:ind w:left="312" w:hanging="102"/>
      </w:pPr>
      <w:r>
        <w:rPr>
          <w:rFonts w:ascii="Inter" w:hAnsi="Inter"/>
          <w:b/>
        </w:rPr>
        <w:t xml:space="preserve">VERIFIED : </w:t>
      </w:r>
      <w:r>
        <w:rPr>
          <w:rFonts w:ascii="Inter" w:hAnsi="Inter"/>
        </w:rPr>
        <w:t>donnée contrôlée, utilisable dans certains moteurs internes.</w:t>
      </w:r>
    </w:p>
    <w:p>
      <w:pPr>
        <w:pStyle w:val="ListBullet"/>
        <w:spacing w:after="50"/>
        <w:ind w:left="312" w:hanging="102"/>
      </w:pPr>
      <w:r>
        <w:rPr>
          <w:rFonts w:ascii="Inter" w:hAnsi="Inter"/>
          <w:b/>
        </w:rPr>
        <w:t xml:space="preserve">PUBLISHED : </w:t>
      </w:r>
      <w:r>
        <w:rPr>
          <w:rFonts w:ascii="Inter" w:hAnsi="Inter"/>
        </w:rPr>
        <w:t>donnée autorisée pour les surfaces définies.</w:t>
      </w:r>
    </w:p>
    <w:p>
      <w:pPr>
        <w:pStyle w:val="ListBullet"/>
        <w:spacing w:after="50"/>
        <w:ind w:left="312" w:hanging="102"/>
      </w:pPr>
      <w:r>
        <w:rPr>
          <w:rFonts w:ascii="Inter" w:hAnsi="Inter"/>
          <w:b/>
        </w:rPr>
        <w:t xml:space="preserve">ARCHIVED : </w:t>
      </w:r>
      <w:r>
        <w:rPr>
          <w:rFonts w:ascii="Inter" w:hAnsi="Inter"/>
        </w:rPr>
        <w:t>donnée conservée pour l’historique mais retirée des nouvelles sélections.</w:t>
      </w:r>
    </w:p>
    <w:p>
      <w:pPr>
        <w:pStyle w:val="Heading1"/>
        <w:keepNext/>
      </w:pPr>
      <w:r>
        <w:rPr>
          <w:rFonts w:ascii="Inter" w:hAnsi="Inter"/>
        </w:rPr>
        <w:t>17. Historisation, validité et snapshots</w:t>
      </w:r>
    </w:p>
    <w:p>
      <w:pPr/>
      <w:r>
        <w:rPr>
          <w:rFonts w:ascii="Inter" w:hAnsi="Inter"/>
          <w:i w:val="0"/>
        </w:rPr>
        <w:t>Les valeurs financières et contractuelles changent. Il ne suffit pas d’écraser un champ « frais = 1,3 % ». La base doit pouvoir conserver les périodes de validité et les sources.</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ProductFee</w:t>
            </w:r>
            <w:r>
              <w:br/>
            </w:r>
            <w:r>
              <w:rPr>
                <w:rFonts w:ascii="DejaVu Sans Mono" w:hAnsi="DejaVu Sans Mono"/>
                <w:color w:val="1A1D2B"/>
                <w:sz w:val="16"/>
              </w:rPr>
              <w:t>- productId</w:t>
            </w:r>
            <w:r>
              <w:br/>
            </w:r>
            <w:r>
              <w:rPr>
                <w:rFonts w:ascii="DejaVu Sans Mono" w:hAnsi="DejaVu Sans Mono"/>
                <w:color w:val="1A1D2B"/>
                <w:sz w:val="16"/>
              </w:rPr>
              <w:t>- value</w:t>
            </w:r>
            <w:r>
              <w:br/>
            </w:r>
            <w:r>
              <w:rPr>
                <w:rFonts w:ascii="DejaVu Sans Mono" w:hAnsi="DejaVu Sans Mono"/>
                <w:color w:val="1A1D2B"/>
                <w:sz w:val="16"/>
              </w:rPr>
              <w:t>- validFrom</w:t>
            </w:r>
            <w:r>
              <w:br/>
            </w:r>
            <w:r>
              <w:rPr>
                <w:rFonts w:ascii="DejaVu Sans Mono" w:hAnsi="DejaVu Sans Mono"/>
                <w:color w:val="1A1D2B"/>
                <w:sz w:val="16"/>
              </w:rPr>
              <w:t>- validTo</w:t>
            </w:r>
            <w:r>
              <w:br/>
            </w:r>
            <w:r>
              <w:rPr>
                <w:rFonts w:ascii="DejaVu Sans Mono" w:hAnsi="DejaVu Sans Mono"/>
                <w:color w:val="1A1D2B"/>
                <w:sz w:val="16"/>
              </w:rPr>
              <w:t>- sourceDocumentId</w:t>
            </w:r>
            <w:r>
              <w:br/>
            </w:r>
            <w:r>
              <w:rPr>
                <w:rFonts w:ascii="DejaVu Sans Mono" w:hAnsi="DejaVu Sans Mono"/>
                <w:color w:val="1A1D2B"/>
                <w:sz w:val="16"/>
              </w:rPr>
              <w:t>- verifiedAt</w:t>
            </w:r>
            <w:r>
              <w:br/>
            </w:r>
            <w:r>
              <w:rPr>
                <w:rFonts w:ascii="DejaVu Sans Mono" w:hAnsi="DejaVu Sans Mono"/>
                <w:color w:val="1A1D2B"/>
                <w:sz w:val="16"/>
              </w:rPr>
              <w:t>- verifiedBy</w:t>
            </w:r>
          </w:p>
        </w:tc>
      </w:tr>
    </w:tbl>
    <w:p>
      <w:pPr>
        <w:spacing w:after="0"/>
      </w:pPr>
    </w:p>
    <w:p>
      <w:pPr/>
      <w:r>
        <w:rPr>
          <w:rFonts w:ascii="Inter" w:hAnsi="Inter"/>
          <w:i w:val="0"/>
        </w:rPr>
        <w:t>Une analyse générée à une date donnée ne doit pas être silencieusement modifiée lorsque le catalogue évolue. Elle enregistre au minimum :</w:t>
      </w:r>
    </w:p>
    <w:p>
      <w:pPr>
        <w:pStyle w:val="ListBullet"/>
        <w:spacing w:after="50"/>
        <w:ind w:left="312" w:hanging="102"/>
      </w:pPr>
      <w:r>
        <w:rPr>
          <w:rFonts w:ascii="Inter" w:hAnsi="Inter"/>
        </w:rPr>
        <w:t>inputs utilisateur et données contractuelles retenues ;</w:t>
      </w:r>
    </w:p>
    <w:p>
      <w:pPr>
        <w:pStyle w:val="ListBullet"/>
        <w:spacing w:after="50"/>
        <w:ind w:left="312" w:hanging="102"/>
      </w:pPr>
      <w:r>
        <w:rPr>
          <w:rFonts w:ascii="Inter" w:hAnsi="Inter"/>
        </w:rPr>
        <w:t>hypothèses système et hypothèses personnalisées ;</w:t>
      </w:r>
    </w:p>
    <w:p>
      <w:pPr>
        <w:pStyle w:val="ListBullet"/>
        <w:spacing w:after="50"/>
        <w:ind w:left="312" w:hanging="102"/>
      </w:pPr>
      <w:r>
        <w:rPr>
          <w:rFonts w:ascii="Inter" w:hAnsi="Inter"/>
        </w:rPr>
        <w:t>versions des moteurs et des modèles ;</w:t>
      </w:r>
    </w:p>
    <w:p>
      <w:pPr>
        <w:pStyle w:val="ListBullet"/>
        <w:spacing w:after="50"/>
        <w:ind w:left="312" w:hanging="102"/>
      </w:pPr>
      <w:r>
        <w:rPr>
          <w:rFonts w:ascii="Inter" w:hAnsi="Inter"/>
        </w:rPr>
        <w:t>version ou date de référence du catalogue ;</w:t>
      </w:r>
    </w:p>
    <w:p>
      <w:pPr>
        <w:pStyle w:val="ListBullet"/>
        <w:spacing w:after="50"/>
        <w:ind w:left="312" w:hanging="102"/>
      </w:pPr>
      <w:r>
        <w:rPr>
          <w:rFonts w:ascii="Inter" w:hAnsi="Inter"/>
        </w:rPr>
        <w:t>résultats, percentiles et messages générés ;</w:t>
      </w:r>
    </w:p>
    <w:p>
      <w:pPr>
        <w:pStyle w:val="ListBullet"/>
        <w:spacing w:after="50"/>
        <w:ind w:left="312" w:hanging="102"/>
      </w:pPr>
      <w:r>
        <w:rPr>
          <w:rFonts w:ascii="Inter" w:hAnsi="Inter"/>
        </w:rPr>
        <w:t>date, auteur, statut et éventuelle validation humaine.</w:t>
      </w:r>
    </w:p>
    <w:tbl>
      <w:tblPr>
        <w:tblW w:type="auto" w:w="0"/>
        <w:jc w:val="center"/>
        <w:tblLayout w:type="autofit"/>
        <w:tblLook w:firstColumn="1" w:firstRow="1" w:lastColumn="0" w:lastRow="0" w:noHBand="0" w:noVBand="1" w:val="04A0"/>
      </w:tblPr>
      <w:tblGrid>
        <w:gridCol w:w="9978"/>
      </w:tblGrid>
      <w:tr>
        <w:tc>
          <w:tcPr>
            <w:tcW w:type="dxa" w:w="9978"/>
            <w:shd w:fill="FFF1D8" w:val="clear"/>
            <w:tcBorders>
              <w:top w:sz="8" w:val="single" w:color="D49B3E"/>
              <w:left w:sz="16" w:val="single" w:color="D49B3E"/>
              <w:bottom w:sz="8" w:val="single" w:color="D49B3E"/>
              <w:right w:sz="8" w:val="single" w:color="D49B3E"/>
            </w:tcBorders>
            <w:tcMar>
              <w:top w:w="130" w:type="dxa"/>
              <w:start w:w="170" w:type="dxa"/>
              <w:bottom w:w="130" w:type="dxa"/>
              <w:end w:w="150" w:type="dxa"/>
            </w:tcMar>
          </w:tcPr>
          <w:p>
            <w:pPr>
              <w:spacing w:after="40"/>
            </w:pPr>
            <w:r>
              <w:rPr>
                <w:rFonts w:ascii="Inter" w:hAnsi="Inter"/>
                <w:b/>
                <w:color w:val="25265E"/>
                <w:sz w:val="19"/>
              </w:rPr>
              <w:t>Règle de reproductibilité</w:t>
            </w:r>
          </w:p>
          <w:p>
            <w:pPr>
              <w:spacing w:after="0"/>
            </w:pPr>
            <w:r>
              <w:rPr>
                <w:rFonts w:ascii="Inter" w:hAnsi="Inter"/>
                <w:color w:val="1A1D2B"/>
                <w:sz w:val="18"/>
              </w:rPr>
              <w:t>Recalculer crée une nouvelle version. Une analyse passée n’est jamais réécrite sans trace.</w:t>
            </w:r>
          </w:p>
        </w:tc>
      </w:tr>
    </w:tbl>
    <w:p>
      <w:pPr>
        <w:spacing w:after="0"/>
      </w:pPr>
    </w:p>
    <w:p>
      <w:pPr>
        <w:pStyle w:val="Heading1"/>
        <w:keepNext/>
      </w:pPr>
      <w:r>
        <w:rPr>
          <w:rFonts w:ascii="Inter" w:hAnsi="Inter"/>
        </w:rPr>
        <w:t>18. Source, confiance et qualité</w:t>
      </w:r>
    </w:p>
    <w:p>
      <w:pPr/>
      <w:r>
        <w:rPr>
          <w:rFonts w:ascii="Inter" w:hAnsi="Inter"/>
          <w:i w:val="0"/>
        </w:rPr>
        <w:t>Chaque donnée importante doit pouvoir expliquer d’où elle vient et à quel point elle est fiable.</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sourceType | sourceDocumentId | sourceUrl | enteredBy</w:t>
            </w:r>
            <w:r>
              <w:br/>
            </w:r>
            <w:r>
              <w:rPr>
                <w:rFonts w:ascii="DejaVu Sans Mono" w:hAnsi="DejaVu Sans Mono"/>
                <w:color w:val="1A1D2B"/>
                <w:sz w:val="16"/>
              </w:rPr>
              <w:t>verifiedBy | verifiedAt | confidence | extractionMethod</w:t>
            </w:r>
            <w:r>
              <w:br/>
            </w:r>
            <w:r>
              <w:rPr>
                <w:rFonts w:ascii="DejaVu Sans Mono" w:hAnsi="DejaVu Sans Mono"/>
                <w:color w:val="1A1D2B"/>
                <w:sz w:val="16"/>
              </w:rPr>
              <w:t>validFrom | validTo | visibility | completeness</w:t>
            </w:r>
          </w:p>
        </w:tc>
      </w:tr>
    </w:tbl>
    <w:p>
      <w:pPr>
        <w:spacing w:after="0"/>
      </w:pPr>
    </w:p>
    <w:p>
      <w:pPr>
        <w:pStyle w:val="Heading2"/>
        <w:keepNext/>
      </w:pPr>
      <w:r>
        <w:rPr>
          <w:rFonts w:ascii="Inter" w:hAnsi="Inter"/>
        </w:rPr>
        <w:t>18.1 Statuts d’extraction</w:t>
      </w:r>
    </w:p>
    <w:p>
      <w:pPr>
        <w:pStyle w:val="ListBullet"/>
        <w:spacing w:after="50"/>
        <w:ind w:left="312" w:hanging="102"/>
      </w:pPr>
      <w:r>
        <w:rPr>
          <w:rFonts w:ascii="Inter" w:hAnsi="Inter"/>
          <w:b/>
        </w:rPr>
        <w:t xml:space="preserve">IMPORTED : </w:t>
      </w:r>
      <w:r>
        <w:rPr>
          <w:rFonts w:ascii="Inter" w:hAnsi="Inter"/>
        </w:rPr>
        <w:t>document reçu mais non traité.</w:t>
      </w:r>
    </w:p>
    <w:p>
      <w:pPr>
        <w:pStyle w:val="ListBullet"/>
        <w:spacing w:after="50"/>
        <w:ind w:left="312" w:hanging="102"/>
      </w:pPr>
      <w:r>
        <w:rPr>
          <w:rFonts w:ascii="Inter" w:hAnsi="Inter"/>
          <w:b/>
        </w:rPr>
        <w:t xml:space="preserve">EXTRACTED : </w:t>
      </w:r>
      <w:r>
        <w:rPr>
          <w:rFonts w:ascii="Inter" w:hAnsi="Inter"/>
        </w:rPr>
        <w:t>informations proposées automatiquement.</w:t>
      </w:r>
    </w:p>
    <w:p>
      <w:pPr>
        <w:pStyle w:val="ListBullet"/>
        <w:spacing w:after="50"/>
        <w:ind w:left="312" w:hanging="102"/>
      </w:pPr>
      <w:r>
        <w:rPr>
          <w:rFonts w:ascii="Inter" w:hAnsi="Inter"/>
          <w:b/>
        </w:rPr>
        <w:t xml:space="preserve">NEEDS_REVIEW : </w:t>
      </w:r>
      <w:r>
        <w:rPr>
          <w:rFonts w:ascii="Inter" w:hAnsi="Inter"/>
        </w:rPr>
        <w:t>ambiguïté, conflit ou faible confiance.</w:t>
      </w:r>
    </w:p>
    <w:p>
      <w:pPr>
        <w:pStyle w:val="ListBullet"/>
        <w:spacing w:after="50"/>
        <w:ind w:left="312" w:hanging="102"/>
      </w:pPr>
      <w:r>
        <w:rPr>
          <w:rFonts w:ascii="Inter" w:hAnsi="Inter"/>
          <w:b/>
        </w:rPr>
        <w:t xml:space="preserve">VERIFIED : </w:t>
      </w:r>
      <w:r>
        <w:rPr>
          <w:rFonts w:ascii="Inter" w:hAnsi="Inter"/>
        </w:rPr>
        <w:t>donnée contrôlée par règles et/ou humain.</w:t>
      </w:r>
    </w:p>
    <w:p>
      <w:pPr/>
      <w:r>
        <w:rPr>
          <w:rFonts w:ascii="Inter" w:hAnsi="Inter"/>
          <w:i w:val="0"/>
        </w:rPr>
        <w:t>Le profil client peut également conserver la source de chaque champ : saisie client, scan d’identité, conseiller, import ou compagnie. La correction confirmée par l’utilisateur devient prioritaire sur une extraction OCR non vérifiée.</w:t>
      </w:r>
    </w:p>
    <w:p>
      <w:pPr>
        <w:pStyle w:val="Heading1"/>
        <w:keepNext/>
      </w:pPr>
      <w:r>
        <w:rPr>
          <w:rFonts w:ascii="Inter" w:hAnsi="Inter"/>
        </w:rPr>
        <w:t>19. Visibilité et droits par champ</w:t>
      </w:r>
    </w:p>
    <w:p>
      <w:pPr/>
      <w:r>
        <w:rPr>
          <w:rFonts w:ascii="Inter" w:hAnsi="Inter"/>
          <w:i w:val="0"/>
        </w:rPr>
        <w:t>Partager une base ne signifie pas partager toutes les données avec tout le monde. Chaque champ ou ressource doit porter une visibilité et être filtré par les rôles, la finalité et le consentement.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Niveau</w:t>
            </w:r>
          </w:p>
        </w:tc>
        <w:tc>
          <w:tcPr>
            <w:tcW w:type="dxa" w:w="453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Exemples</w:t>
            </w:r>
          </w:p>
        </w:tc>
        <w:tc>
          <w:tcPr>
            <w:tcW w:type="dxa" w:w="328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Surfaces possibles</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PUBLIC</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nom de produit, caractéristiques publiées, articles</w:t>
            </w:r>
          </w:p>
        </w:tc>
        <w:tc>
          <w:tcPr>
            <w:tcW w:type="dxa" w:w="328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Site, Intelligence, Wallet</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CUSTOMER</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contrats, documents, objectifs, simulations</w:t>
            </w:r>
          </w:p>
        </w:tc>
        <w:tc>
          <w:tcPr>
            <w:tcW w:type="dxa" w:w="328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Wallet et Admin autorisé</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PARTNER_LIMITED</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statut commercial, commission due</w:t>
            </w:r>
          </w:p>
        </w:tc>
        <w:tc>
          <w:tcPr>
            <w:tcW w:type="dxa" w:w="328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Partners et Admin</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PROFESSIONAL</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données analytiques avancées, benchmarks complets</w:t>
            </w:r>
          </w:p>
        </w:tc>
        <w:tc>
          <w:tcPr>
            <w:tcW w:type="dxa" w:w="328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Intelligence et Admin</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INTERNAL</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notes, anomalies, logs opérationnels</w:t>
            </w:r>
          </w:p>
        </w:tc>
        <w:tc>
          <w:tcPr>
            <w:tcW w:type="dxa" w:w="328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Admin uniquement</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SENSITIVE</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pièce d’identité, données médicales ou financières particulières</w:t>
            </w:r>
          </w:p>
        </w:tc>
        <w:tc>
          <w:tcPr>
            <w:tcW w:type="dxa" w:w="328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Services strictement autorisés et accès audité</w:t>
            </w:r>
          </w:p>
        </w:tc>
      </w:tr>
    </w:tbl>
    <w:p>
      <w:pPr>
        <w:spacing w:after="0"/>
      </w:pPr>
    </w:p>
    <w:p>
      <w:pPr>
        <w:pStyle w:val="Heading1"/>
        <w:keepNext/>
      </w:pPr>
      <w:r>
        <w:rPr>
          <w:rFonts w:ascii="Inter" w:hAnsi="Inter"/>
        </w:rPr>
        <w:t>20. Admin comme CMS métier et cockpit</w:t>
      </w:r>
    </w:p>
    <w:p>
      <w:pPr/>
      <w:r>
        <w:t>Admin n’est ni seulement un CRM, ni seulement un CMS métier. Il constitue le système d’exploitation interne de CoverView. Il administre la connaissance du marché, mais aussi l’activité quotidienne : leads, opportunités, clients, dossiers, tâches, communications, rendez-vous, prévisions de revenus, validations et exceptions. Il doit permettre de pré-créer manuellement un produit, de le compléter progressivement, de modifier des valeurs, d’ajouter les sources, de lancer une revue et de publier la donnée sans intervention technique.</w:t>
      </w:r>
    </w:p>
    <w:p>
      <w:pPr>
        <w:pStyle w:val="Heading2"/>
        <w:keepNext/>
      </w:pPr>
      <w:r>
        <w:rPr>
          <w:rFonts w:ascii="Inter" w:hAnsi="Inter"/>
        </w:rPr>
        <w:t>20.1 Création d’un produit</w:t>
      </w:r>
    </w:p>
    <w:p>
      <w:pPr>
        <w:pStyle w:val="ListBullet"/>
        <w:spacing w:after="50"/>
        <w:ind w:left="312" w:hanging="102"/>
      </w:pPr>
      <w:r>
        <w:rPr>
          <w:rFonts w:ascii="Inter" w:hAnsi="Inter"/>
        </w:rPr>
        <w:t>compagnie, marque et entité juridique ;</w:t>
      </w:r>
    </w:p>
    <w:p>
      <w:pPr>
        <w:pStyle w:val="ListBullet"/>
        <w:spacing w:after="50"/>
        <w:ind w:left="312" w:hanging="102"/>
      </w:pPr>
      <w:r>
        <w:rPr>
          <w:rFonts w:ascii="Inter" w:hAnsi="Inter"/>
        </w:rPr>
        <w:t>nom, catégorie, 3a/3b/libre passage/assurance, statut commercial ;</w:t>
      </w:r>
    </w:p>
    <w:p>
      <w:pPr>
        <w:pStyle w:val="ListBullet"/>
        <w:spacing w:after="50"/>
        <w:ind w:left="312" w:hanging="102"/>
      </w:pPr>
      <w:r>
        <w:rPr>
          <w:rFonts w:ascii="Inter" w:hAnsi="Inter"/>
        </w:rPr>
        <w:t>dates et versions ;</w:t>
      </w:r>
    </w:p>
    <w:p>
      <w:pPr>
        <w:pStyle w:val="ListBullet"/>
        <w:spacing w:after="50"/>
        <w:ind w:left="312" w:hanging="102"/>
      </w:pPr>
      <w:r>
        <w:rPr>
          <w:rFonts w:ascii="Inter" w:hAnsi="Inter"/>
        </w:rPr>
        <w:t>frais, valeurs de rachat, pénalités et conditions ;</w:t>
      </w:r>
    </w:p>
    <w:p>
      <w:pPr>
        <w:pStyle w:val="ListBullet"/>
        <w:spacing w:after="50"/>
        <w:ind w:left="312" w:hanging="102"/>
      </w:pPr>
      <w:r>
        <w:rPr>
          <w:rFonts w:ascii="Inter" w:hAnsi="Inter"/>
        </w:rPr>
        <w:t>garanties, capital décès et libération des primes ;</w:t>
      </w:r>
    </w:p>
    <w:p>
      <w:pPr>
        <w:pStyle w:val="ListBullet"/>
        <w:spacing w:after="50"/>
        <w:ind w:left="312" w:hanging="102"/>
      </w:pPr>
      <w:r>
        <w:rPr>
          <w:rFonts w:ascii="Inter" w:hAnsi="Inter"/>
        </w:rPr>
        <w:t>fonds et univers d’investissement ;</w:t>
      </w:r>
    </w:p>
    <w:p>
      <w:pPr>
        <w:pStyle w:val="ListBullet"/>
        <w:spacing w:after="50"/>
        <w:ind w:left="312" w:hanging="102"/>
      </w:pPr>
      <w:r>
        <w:rPr>
          <w:rFonts w:ascii="Inter" w:hAnsi="Inter"/>
        </w:rPr>
        <w:t>allocations par défaut ou profils ;</w:t>
      </w:r>
    </w:p>
    <w:p>
      <w:pPr>
        <w:pStyle w:val="ListBullet"/>
        <w:spacing w:after="50"/>
        <w:ind w:left="312" w:hanging="102"/>
      </w:pPr>
      <w:r>
        <w:rPr>
          <w:rFonts w:ascii="Inter" w:hAnsi="Inter"/>
        </w:rPr>
        <w:t>documents, CGA, factsheets et preuves ;</w:t>
      </w:r>
    </w:p>
    <w:p>
      <w:pPr>
        <w:pStyle w:val="ListBullet"/>
        <w:spacing w:after="50"/>
        <w:ind w:left="312" w:hanging="102"/>
      </w:pPr>
      <w:r>
        <w:rPr>
          <w:rFonts w:ascii="Inter" w:hAnsi="Inter"/>
        </w:rPr>
        <w:t>notes internes, confiance, complétude et restrictions de publication.</w:t>
      </w:r>
    </w:p>
    <w:p>
      <w:pPr>
        <w:pStyle w:val="Heading2"/>
        <w:keepNext/>
      </w:pPr>
      <w:r>
        <w:rPr>
          <w:rFonts w:ascii="Inter" w:hAnsi="Inter"/>
        </w:rPr>
        <w:t>20.2 Paramètres système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06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Paramètre</w:t>
            </w:r>
          </w:p>
        </w:tc>
        <w:tc>
          <w:tcPr>
            <w:tcW w:type="dxa" w:w="204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Valeur initiale</w:t>
            </w:r>
          </w:p>
        </w:tc>
        <w:tc>
          <w:tcPr>
            <w:tcW w:type="dxa" w:w="453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Règle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Inflation par défaut</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4,00 % / an</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Modifiable dans Admin et snapshotée dans chaque analyse</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Taux de remplacement</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80 %</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Valeur de départ du calcul rapide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Estimation rapide AVS + LPP</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60 % du revenu</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Toujours indiquée comme estimation simplifiée</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Durée de retraite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25 ans</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25 ans pour le calcul rapide existant ; ne remplace pas les scénarios de longévité de Retire.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Simulations — parcours général</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10’000</w:t>
            </w:r>
          </w:p>
        </w:tc>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r>
              <w:t>10’000 par défaut dans le parcours existant. Afficher une seule fois le nombre effectivement exécuté. Retire dispose d’une cible distincte ci-dessous.</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Niveau de confiance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50 %</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50 % pour l’âge médian d’atteinte ; distinct des niveaux de soutenabilité de Retire.</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Simulations — CoverView Retire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Cible : 100’000</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Cible du PDF [RET-1, p. 5]. Paramètre par profil de calcul ; ne pas annoncer une cible comme nombre exécuté.</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 : seuils de soutenabilité</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80 / 90 / 95 / 99 %</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Niveaux du Retirement Plan ; sens de la réussite et horizon à préciser.</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 : stress EMS</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Activé par défaut</w:t>
            </w:r>
          </w:p>
        </w:tc>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Règle du parcours cible ; profondeur disponible à chaque phase à arbitrer.</w:t>
            </w:r>
          </w:p>
        </w:tc>
      </w:tr>
    </w:tbl>
    <w:p>
      <w:pPr>
        <w:keepNext w:val="0"/>
      </w:pPr>
      <w:r>
        <w:t>Paramétrage Retire : la référence Growth/Income/Safety 80/17/3, les bandes de drawdown, la réserve en années de besoin résiduel, les règles de bonus et le profil de simulations doivent être administrables et snapshotés. Le PDF ne fixe pas toutes les conventions de calcul ; voir R16 avant implémentation.</w:t>
      </w:r>
    </w:p>
    <w:p>
      <w:pPr>
        <w:pStyle w:val="Heading2"/>
      </w:pPr>
      <w:r>
        <w:t>20.3 Admin comme système d’exploitation interne</w:t>
      </w:r>
    </w:p>
    <w:p>
      <w:pPr/>
      <w:r>
        <w:t>Les objets opérationnels utilisent les mêmes identifiants canoniques que le reste de la plateforme. Une interaction ne doit pas être copiée dans plusieurs outils : elle est enregistrée une fois, puis visible dans les vues adaptées - carte du lead, fiche client, dossier, tâche, timeline, calendrier et dashboard.</w:t>
      </w:r>
    </w:p>
    <w:p>
      <w:pPr>
        <w:pStyle w:val="ListBullet"/>
        <w:spacing w:after="50"/>
        <w:ind w:left="312" w:hanging="102"/>
      </w:pPr>
      <w:r>
        <w:rPr>
          <w:rFonts w:ascii="Inter" w:hAnsi="Inter"/>
        </w:rPr>
        <w:t>Lead : personne ou organisation entrante dont le besoin et la qualification restent à établir ;</w:t>
      </w:r>
    </w:p>
    <w:p>
      <w:pPr>
        <w:pStyle w:val="ListBullet"/>
        <w:spacing w:after="50"/>
        <w:ind w:left="312" w:hanging="102"/>
      </w:pPr>
      <w:r>
        <w:rPr>
          <w:rFonts w:ascii="Inter" w:hAnsi="Inter"/>
        </w:rPr>
        <w:t>Opportunity : besoin commercial distinct, avec étape, probabilité, revenu estimé et date de décision ;</w:t>
      </w:r>
    </w:p>
    <w:p>
      <w:pPr>
        <w:pStyle w:val="ListBullet"/>
        <w:spacing w:after="50"/>
        <w:ind w:left="312" w:hanging="102"/>
      </w:pPr>
      <w:r>
        <w:rPr>
          <w:rFonts w:ascii="Inter" w:hAnsi="Inter"/>
        </w:rPr>
        <w:t>Client : personne ou ménage possédant une relation active avec CoverView ;</w:t>
      </w:r>
    </w:p>
    <w:p>
      <w:pPr>
        <w:pStyle w:val="ListBullet"/>
        <w:spacing w:after="50"/>
        <w:ind w:left="312" w:hanging="102"/>
      </w:pPr>
      <w:r>
        <w:rPr>
          <w:rFonts w:ascii="Inter" w:hAnsi="Inter"/>
        </w:rPr>
        <w:t>Case / Project : dossier borné à accomplir, par exemple recherche LPP, audit 3P, récupération de contrats, migration ou revue annuelle ;</w:t>
      </w:r>
    </w:p>
    <w:p>
      <w:pPr>
        <w:pStyle w:val="ListBullet"/>
        <w:spacing w:after="50"/>
        <w:ind w:left="312" w:hanging="102"/>
      </w:pPr>
      <w:r>
        <w:rPr>
          <w:rFonts w:ascii="Inter" w:hAnsi="Inter"/>
        </w:rPr>
        <w:t>Task : action atomique, attribuée, datée et reliée à un objet métier ;</w:t>
      </w:r>
    </w:p>
    <w:p>
      <w:pPr>
        <w:pStyle w:val="ListBullet"/>
        <w:spacing w:after="50"/>
        <w:ind w:left="312" w:hanging="102"/>
      </w:pPr>
      <w:r>
        <w:rPr>
          <w:rFonts w:ascii="Inter" w:hAnsi="Inter"/>
        </w:rPr>
        <w:t>Activity : email, appel, réunion, note, document ou événement système apparaissant dans la timeline ;</w:t>
      </w:r>
    </w:p>
    <w:p>
      <w:pPr>
        <w:pStyle w:val="ListBullet"/>
        <w:spacing w:after="50"/>
        <w:ind w:left="312" w:hanging="102"/>
      </w:pPr>
      <w:r>
        <w:rPr>
          <w:rFonts w:ascii="Inter" w:hAnsi="Inter"/>
        </w:rPr>
        <w:t>Next Action : prochaine action explicite qui empêche un lead ou un dossier actif de devenir silencieusement orphelin ;</w:t>
      </w:r>
    </w:p>
    <w:p>
      <w:pPr>
        <w:pStyle w:val="ListBullet"/>
        <w:spacing w:after="50"/>
        <w:ind w:left="312" w:hanging="102"/>
      </w:pPr>
      <w:r>
        <w:rPr>
          <w:rFonts w:ascii="Inter" w:hAnsi="Inter"/>
        </w:rPr>
        <w:t>Forecast Item : estimation datée d’un revenu potentiel, reliée à une opportunité et à sa probabilité.</w:t>
      </w:r>
    </w:p>
    <w:p>
      <w:pPr>
        <w:pStyle w:val="Heading2"/>
      </w:pPr>
      <w:r>
        <w:t>20.4 Invariant de suivi opérationnel</w:t>
      </w:r>
    </w:p>
    <w:p>
      <w:pPr/>
      <w:r>
        <w:t>Tout lead, toute opportunité et tout dossier actif doit pouvoir répondre immédiatement à six questions : qui en est responsable, où en est-il, quelle est la dernière activité, quelle est la prochaine action, pour quand est-elle prévue et qu’est-ce qui bloque éventuellement la suite.</w:t>
      </w:r>
    </w:p>
    <w:p>
      <w:pPr>
        <w:pStyle w:val="ListBullet"/>
        <w:spacing w:after="50"/>
        <w:ind w:left="312" w:hanging="102"/>
      </w:pPr>
      <w:r>
        <w:rPr>
          <w:rFonts w:ascii="Inter" w:hAnsi="Inter"/>
        </w:rPr>
        <w:t>un propriétaire ou une équipe responsable ;</w:t>
      </w:r>
    </w:p>
    <w:p>
      <w:pPr>
        <w:pStyle w:val="ListBullet"/>
        <w:spacing w:after="50"/>
        <w:ind w:left="312" w:hanging="102"/>
      </w:pPr>
      <w:r>
        <w:rPr>
          <w:rFonts w:ascii="Inter" w:hAnsi="Inter"/>
        </w:rPr>
        <w:t>un statut ou une étape clairement définie ;</w:t>
      </w:r>
    </w:p>
    <w:p>
      <w:pPr>
        <w:pStyle w:val="ListBullet"/>
        <w:spacing w:after="50"/>
        <w:ind w:left="312" w:hanging="102"/>
      </w:pPr>
      <w:r>
        <w:rPr>
          <w:rFonts w:ascii="Inter" w:hAnsi="Inter"/>
        </w:rPr>
        <w:t>une prochaine action et une échéance ;</w:t>
      </w:r>
    </w:p>
    <w:p>
      <w:pPr>
        <w:pStyle w:val="ListBullet"/>
        <w:spacing w:after="50"/>
        <w:ind w:left="312" w:hanging="102"/>
      </w:pPr>
      <w:r>
        <w:rPr>
          <w:rFonts w:ascii="Inter" w:hAnsi="Inter"/>
        </w:rPr>
        <w:t>la dernière interaction utile ;</w:t>
      </w:r>
    </w:p>
    <w:p>
      <w:pPr>
        <w:pStyle w:val="ListBullet"/>
        <w:spacing w:after="50"/>
        <w:ind w:left="312" w:hanging="102"/>
      </w:pPr>
      <w:r>
        <w:rPr>
          <w:rFonts w:ascii="Inter" w:hAnsi="Inter"/>
        </w:rPr>
        <w:t>les dépendances, éléments manquants et motifs de blocage ;</w:t>
      </w:r>
    </w:p>
    <w:p>
      <w:pPr>
        <w:pStyle w:val="ListBullet"/>
        <w:spacing w:after="50"/>
        <w:ind w:left="312" w:hanging="102"/>
      </w:pPr>
      <w:r>
        <w:rPr>
          <w:rFonts w:ascii="Inter" w:hAnsi="Inter"/>
        </w:rPr>
        <w:t>une timeline regroupant les actions humaines et automatiques.</w:t>
      </w:r>
    </w:p>
    <w:p>
      <w:pPr>
        <w:pStyle w:val="CoverViewSmall"/>
      </w:pPr>
      <w:r>
        <w:t>Un client n’est pas une étape du pipeline. Une même personne peut déjà être cliente pour un contrat et posséder simultanément plusieurs opportunités ou dossiers - par exemple une analyse 3P, une recherche LPP et une couverture complémentaire - chacun avec son propre état et sa prochaine action.</w:t>
      </w:r>
    </w:p>
    <w:p>
      <w:pPr>
        <w:spacing w:after="0"/>
      </w:pP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IV</w:t>
            </w:r>
          </w:p>
          <w:p>
            <w:pPr>
              <w:spacing w:after="0"/>
            </w:pPr>
            <w:r>
              <w:rPr>
                <w:rFonts w:ascii="Inter" w:hAnsi="Inter"/>
                <w:color w:val="E7E8FF"/>
                <w:sz w:val="20"/>
              </w:rPr>
              <w:t>Site public, acquisition et lisibilité par les IA</w:t>
            </w:r>
          </w:p>
        </w:tc>
      </w:tr>
    </w:tbl>
    <w:p>
      <w:pPr>
        <w:spacing w:after="0"/>
      </w:pPr>
    </w:p>
    <w:p>
      <w:pPr>
        <w:pStyle w:val="Heading2"/>
      </w:pPr>
      <w:r>
        <w:t>20.5 Pilotage conversationnel comme capacité de plateforme</w:t>
      </w:r>
    </w:p>
    <w:p>
      <w:pPr/>
      <w:r>
        <w:t>Admin doit rester entièrement utilisable par ses interfaces structurées, mais chaque objet pilotable doit aussi pouvoir être interrogé et mis à jour en langage naturel. Le chat ne remplace ni les formulaires, ni le modèle de données, ni les règles métier : il traduit une intention écrite ou vocale en lectures et actions typées sur les objets canoniques de CoverView.</w:t>
      </w:r>
    </w:p>
    <w:p>
      <w:pPr>
        <w:pStyle w:val="ListBullet"/>
      </w:pPr>
      <w:r>
        <w:t>interroger la base : « Quels leads actifs n’ont aucune prochaine action cette semaine ? » ;</w:t>
      </w:r>
    </w:p>
    <w:p>
      <w:pPr>
        <w:pStyle w:val="ListBullet"/>
      </w:pPr>
      <w:r>
        <w:t>résumer un contexte : « Résume le dossier Dupont, ses derniers échanges et les blocages » ;</w:t>
      </w:r>
    </w:p>
    <w:p>
      <w:pPr>
        <w:pStyle w:val="ListBullet"/>
      </w:pPr>
      <w:r>
        <w:t>créer ou mettre à jour un lead, une opportunité, un dossier, une tâche, une note, une échéance ou un rendez-vous ;</w:t>
      </w:r>
    </w:p>
    <w:p>
      <w:pPr>
        <w:pStyle w:val="ListBullet"/>
      </w:pPr>
      <w:r>
        <w:t>préparer des emails, comptes rendus, rapports, checklists et plans d’action ;</w:t>
      </w:r>
    </w:p>
    <w:p>
      <w:pPr>
        <w:pStyle w:val="ListBullet"/>
      </w:pPr>
      <w:r>
        <w:t>lancer un workflow autorisé : récupération de contrats, recherche LPP, extraction documentaire, audit, relance ou revue annuelle ;</w:t>
      </w:r>
    </w:p>
    <w:p>
      <w:pPr>
        <w:pStyle w:val="ListBullet"/>
      </w:pPr>
      <w:r>
        <w:t>analyser un dashboard et expliquer les moteurs d’un forecast, d’un retard ou d’un écart à l’objectif ;</w:t>
      </w:r>
    </w:p>
    <w:p>
      <w:pPr>
        <w:pStyle w:val="ListBullet"/>
      </w:pPr>
      <w:r>
        <w:t>ingérer une pièce jointe ou une dictée puis proposer les mises à jour structurées correspondantes.</w:t>
      </w:r>
    </w:p>
    <w:p>
      <w:pPr>
        <w:pStyle w:val="CoverViewSmall"/>
      </w:pPr>
      <w:r>
        <w:t>Principe : l’interface conversationnelle est une couche d’orchestration au-dessus de CoverView Core. Elle ne possède pas une base parallèle et ne produit pas d’état métier invisible aux autres applications.</w:t>
      </w:r>
    </w:p>
    <w:p>
      <w:pPr>
        <w:pStyle w:val="Heading1"/>
        <w:keepNext/>
      </w:pPr>
      <w:r>
        <w:rPr>
          <w:rFonts w:ascii="Inter" w:hAnsi="Inter"/>
        </w:rPr>
        <w:t>21. Rôle de coverview.ch</w:t>
      </w:r>
    </w:p>
    <w:p>
      <w:pPr/>
      <w:r>
        <w:rPr>
          <w:rFonts w:ascii="Inter" w:hAnsi="Inter"/>
          <w:i w:val="0"/>
        </w:rPr>
        <w:t>Le site marketing sur coverview.ch est à la fois vitrine, média, moteur d’acquisition, outil de démonstration et point d’entrée transactionnel. Il est développé en Astro afin de favoriser les performances, l’indexation et un contenu majoritairement statique, tout en hydratant les composants interactifs nécessaires.</w:t>
      </w:r>
    </w:p>
    <w:p>
      <w:pPr>
        <w:pStyle w:val="Heading2"/>
        <w:keepNext/>
      </w:pPr>
      <w:r>
        <w:rPr>
          <w:rFonts w:ascii="Inter" w:hAnsi="Inter"/>
        </w:rPr>
        <w:t>21.1 Valeur sans compte</w:t>
      </w:r>
    </w:p>
    <w:p>
      <w:pPr>
        <w:pStyle w:val="ListBullet"/>
        <w:spacing w:after="50"/>
        <w:ind w:left="312" w:hanging="102"/>
      </w:pPr>
      <w:r>
        <w:rPr>
          <w:rFonts w:ascii="Inter" w:hAnsi="Inter"/>
        </w:rPr>
        <w:t>découvrir CoverView et sa méthode ;</w:t>
      </w:r>
    </w:p>
    <w:p>
      <w:pPr>
        <w:pStyle w:val="ListBullet"/>
        <w:spacing w:after="50"/>
        <w:ind w:left="312" w:hanging="102"/>
      </w:pPr>
      <w:r>
        <w:rPr>
          <w:rFonts w:ascii="Inter" w:hAnsi="Inter"/>
        </w:rPr>
        <w:t>uploader un contrat 3P ;</w:t>
      </w:r>
    </w:p>
    <w:p>
      <w:pPr>
        <w:pStyle w:val="ListBullet"/>
        <w:spacing w:after="50"/>
        <w:ind w:left="312" w:hanging="102"/>
      </w:pPr>
      <w:r>
        <w:rPr>
          <w:rFonts w:ascii="Inter" w:hAnsi="Inter"/>
        </w:rPr>
        <w:t>obtenir une première analyse ;</w:t>
      </w:r>
    </w:p>
    <w:p>
      <w:pPr>
        <w:pStyle w:val="ListBullet"/>
        <w:spacing w:after="50"/>
        <w:ind w:left="312" w:hanging="102"/>
      </w:pPr>
      <w:r>
        <w:rPr>
          <w:rFonts w:ascii="Inter" w:hAnsi="Inter"/>
        </w:rPr>
        <w:t>jouer au Prediction Game ;</w:t>
      </w:r>
    </w:p>
    <w:p>
      <w:pPr>
        <w:pStyle w:val="ListBullet"/>
        <w:spacing w:after="50"/>
        <w:ind w:left="312" w:hanging="102"/>
      </w:pPr>
      <w:r>
        <w:rPr>
          <w:rFonts w:ascii="Inter" w:hAnsi="Inter"/>
        </w:rPr>
        <w:t>voir le Reveal ;</w:t>
      </w:r>
    </w:p>
    <w:p>
      <w:pPr>
        <w:pStyle w:val="ListBullet"/>
        <w:spacing w:after="50"/>
        <w:ind w:left="312" w:hanging="102"/>
      </w:pPr>
      <w:r>
        <w:rPr>
          <w:rFonts w:ascii="Inter" w:hAnsi="Inter"/>
        </w:rPr>
        <w:t>calculer un objectif retraite ;</w:t>
      </w:r>
    </w:p>
    <w:p>
      <w:pPr>
        <w:pStyle w:val="ListBullet"/>
        <w:spacing w:after="50"/>
        <w:ind w:left="312" w:hanging="102"/>
      </w:pPr>
      <w:r>
        <w:rPr>
          <w:rFonts w:ascii="Inter" w:hAnsi="Inter"/>
        </w:rPr>
        <w:t>manipuler salaire, cotisation, âge, inflation et niveau de vie ;</w:t>
      </w:r>
    </w:p>
    <w:p>
      <w:pPr>
        <w:pStyle w:val="ListBullet"/>
        <w:spacing w:after="50"/>
        <w:ind w:left="312" w:hanging="102"/>
      </w:pPr>
      <w:r>
        <w:rPr>
          <w:rFonts w:ascii="Inter" w:hAnsi="Inter"/>
        </w:rPr>
        <w:t>comparer des trajectoires et des stratégies ;</w:t>
      </w:r>
    </w:p>
    <w:p>
      <w:pPr>
        <w:pStyle w:val="ListBullet"/>
        <w:spacing w:after="50"/>
        <w:ind w:left="312" w:hanging="102"/>
      </w:pPr>
      <w:r>
        <w:rPr>
          <w:rFonts w:ascii="Inter" w:hAnsi="Inter"/>
        </w:rPr>
        <w:t>partager un résultat non sensible ;</w:t>
      </w:r>
    </w:p>
    <w:p>
      <w:pPr>
        <w:pStyle w:val="ListBullet"/>
        <w:spacing w:after="50"/>
        <w:ind w:left="312" w:hanging="102"/>
      </w:pPr>
      <w:r>
        <w:rPr>
          <w:rFonts w:ascii="Inter" w:hAnsi="Inter"/>
        </w:rPr>
        <w:t>commencer une recherche LPP, une procuration ou une récupération de contrats.</w:t>
      </w:r>
    </w:p>
    <w:p>
      <w:pPr>
        <w:pStyle w:val="Heading1"/>
        <w:keepNext/>
      </w:pPr>
      <w:r>
        <w:rPr>
          <w:rFonts w:ascii="Inter" w:hAnsi="Inter"/>
        </w:rPr>
        <w:t>22. Architecture éditoriale prioritaire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Page</w:t>
            </w:r>
          </w:p>
        </w:tc>
        <w:tc>
          <w:tcPr>
            <w:tcW w:type="dxa" w:w="294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Objectif</w:t>
            </w:r>
          </w:p>
        </w:tc>
        <w:tc>
          <w:tcPr>
            <w:tcW w:type="dxa" w:w="436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Contenu clé</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Home</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Vendre une question claire</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3P, retraite, démonstration, CTA analyse et calculateur</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Comment fonctionne CoverView</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Présenter les parcours convergents</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Analyser, préparer, comparer</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Sébastien Martin</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Créer confiance et autorité</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Histoire, parcours, passions, contenus, expertise</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Vision &amp; philosophie</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Expliquer la manière de penser</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Compréhension, horizon, suivi, adaptation</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Méthodologie</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Rendre la méthode tangible</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Analyse, benchmark, stratégie, suivi</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Services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Lister les besoins couverts</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3P, LPP, audit, contrats, prévoyance, assurances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Comparaison des modèles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Différencier sans agressivité</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Agent, courtier traditionnel, CoverView</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Benchmark</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Montrer la profondeur</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Critères, cohorte, méthodologie, exemples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Études de cas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Prouver par des situations</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Avant, analyse, benchmark, décision, résultat</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Rapports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Montrer le niveau d’analyse</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Extraits anonymisés, sections, méthodologie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Articles &amp; FAQ</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Construire l’autorité thématique</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Questions réelles, contenus Instagram enrichis</w:t>
            </w:r>
          </w:p>
        </w:tc>
      </w:tr>
      <w:tr>
        <w:trPr>
          <w:cantSplit/>
        </w:trPr>
        <w:tc>
          <w:tcPr>
            <w:tcW w:type="dxa" w:w="232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Outils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Donner de la valeur et convertir</w:t>
            </w:r>
          </w:p>
        </w:tc>
        <w:tc>
          <w:tcPr>
            <w:tcW w:type="dxa" w:w="436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3P, retraite, LPP, comparateurs, signatures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Contact / Expert</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Permettre l’action</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Source, besoin, prise de rendez-vous ou rappel</w:t>
            </w:r>
          </w:p>
        </w:tc>
      </w:tr>
      <w:t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Miles &amp; avantages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Expliquer le programme de fidélité</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Règles, façons de gagner, récompenses, partenaires et conditions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CoverView Retire</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Acquisition dédiée au niveau de vie à la retraite</w:t>
            </w:r>
          </w:p>
        </w:tc>
        <w:tc>
          <w:tcPr>
            <w:tcW w:type="dxa" w:w="436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 Check, rente/capital/mix, offres, méthodologie, puis suivi dans Wallet.</w:t>
            </w:r>
          </w:p>
        </w:tc>
      </w:tr>
    </w:tbl>
    <w:p>
      <w:pPr>
        <w:spacing w:after="0"/>
      </w:pPr>
    </w:p>
    <w:p>
      <w:pPr>
        <w:pStyle w:val="Heading1"/>
        <w:keepNext/>
      </w:pPr>
      <w:r>
        <w:rPr>
          <w:rFonts w:ascii="Inter" w:hAnsi="Inter"/>
        </w:rPr>
        <w:t>23. Home et démonstration</w:t>
      </w:r>
    </w:p>
    <w:p>
      <w:pPr>
        <w:pStyle w:val="Heading2"/>
        <w:keepNext/>
      </w:pPr>
      <w:r>
        <w:rPr>
          <w:rFonts w:ascii="Inter" w:hAnsi="Inter"/>
        </w:rPr>
        <w:t>23.1 Hero</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Votre 3e pilier vous permettra-t-il réellement de prendre votre retraite quand vous le souhaitez ?</w:t>
            </w:r>
          </w:p>
        </w:tc>
      </w:tr>
    </w:tbl>
    <w:p>
      <w:pPr>
        <w:spacing w:after="0"/>
      </w:pPr>
    </w:p>
    <w:p>
      <w:pPr/>
      <w:r>
        <w:rPr>
          <w:rFonts w:ascii="Inter" w:hAnsi="Inter"/>
          <w:i w:val="0"/>
        </w:rPr>
        <w:t>Sous-titre proposé : Analysez votre contrat, découvrez ce qu’il contient réellement et estimez l’âge auquel votre stratégie pourrait atteindre votre objectif retraite.</w:t>
      </w:r>
    </w:p>
    <w:p>
      <w:pPr>
        <w:pStyle w:val="ListBullet"/>
        <w:spacing w:after="50"/>
        <w:ind w:left="312" w:hanging="102"/>
      </w:pPr>
      <w:r>
        <w:rPr>
          <w:rFonts w:ascii="Inter" w:hAnsi="Inter"/>
          <w:b/>
        </w:rPr>
        <w:t xml:space="preserve">CTA principal : </w:t>
      </w:r>
      <w:r>
        <w:rPr>
          <w:rFonts w:ascii="Inter" w:hAnsi="Inter"/>
        </w:rPr>
        <w:t>Analyser mon 3e pilier</w:t>
      </w:r>
    </w:p>
    <w:p>
      <w:pPr>
        <w:pStyle w:val="ListBullet"/>
        <w:spacing w:after="50"/>
        <w:ind w:left="312" w:hanging="102"/>
      </w:pPr>
      <w:r>
        <w:rPr>
          <w:rFonts w:ascii="Inter" w:hAnsi="Inter"/>
          <w:b/>
        </w:rPr>
        <w:t xml:space="preserve">CTA secondaire : </w:t>
      </w:r>
      <w:r>
        <w:rPr>
          <w:rFonts w:ascii="Inter" w:hAnsi="Inter"/>
        </w:rPr>
        <w:t>Calculer mon objectif retraite</w:t>
      </w:r>
    </w:p>
    <w:p>
      <w:pPr>
        <w:pStyle w:val="Heading2"/>
        <w:keepNext/>
      </w:pPr>
      <w:r>
        <w:rPr>
          <w:rFonts w:ascii="Inter" w:hAnsi="Inter"/>
        </w:rPr>
        <w:t>23.2 Démonstration immédiatement visible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Indicateur</w:t>
            </w:r>
          </w:p>
        </w:tc>
        <w:tc>
          <w:tcPr>
            <w:tcW w:type="dxa" w:w="567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Objectif retraite</w:t>
            </w:r>
          </w:p>
        </w:tc>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65 ans</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Trajectoire actuelle estimée</w:t>
            </w:r>
          </w:p>
        </w:tc>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71 ans</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Écart</w:t>
            </w:r>
          </w:p>
        </w:tc>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 ans</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Relance</w:t>
            </w:r>
          </w:p>
        </w:tc>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Et si votre stratégie pouvait faire mieux ?</w:t>
            </w:r>
          </w:p>
        </w:tc>
      </w:tr>
    </w:tbl>
    <w:p>
      <w:pPr>
        <w:spacing w:after="0"/>
      </w:pPr>
    </w:p>
    <w:p>
      <w:pPr>
        <w:pStyle w:val="Heading1"/>
        <w:keepNext/>
      </w:pPr>
      <w:r>
        <w:rPr>
          <w:rFonts w:ascii="Inter" w:hAnsi="Inter"/>
        </w:rPr>
        <w:t>24. Overview : trois entrées convergentes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8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Entrée</w:t>
            </w:r>
          </w:p>
        </w:tc>
        <w:tc>
          <w:tcPr>
            <w:tcW w:type="dxa" w:w="249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CTA</w:t>
            </w:r>
          </w:p>
        </w:tc>
        <w:tc>
          <w:tcPr>
            <w:tcW w:type="dxa" w:w="476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Questions traitées</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J’ai déjà un 3P</w:t>
            </w:r>
          </w:p>
        </w:tc>
        <w:tc>
          <w:tcPr>
            <w:tcW w:type="dxa" w:w="249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Analyser mon contrat</w:t>
            </w:r>
          </w:p>
        </w:tc>
        <w:tc>
          <w:tcPr>
            <w:tcW w:type="dxa" w:w="476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Où est investi mon argent ? Combien cela coûte ? Quelles protections ? Quel potentiel ?</w:t>
            </w:r>
          </w:p>
        </w:tc>
      </w:tr>
      <w:tr>
        <w:trPr>
          <w:cantSplit/>
        </w:trPr>
        <w:tc>
          <w:tcPr>
            <w:tcW w:type="dxa" w:w="238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Je veux préparer ma retraite</w:t>
            </w:r>
          </w:p>
        </w:tc>
        <w:tc>
          <w:tcPr>
            <w:tcW w:type="dxa" w:w="249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Calculer mon objectif</w:t>
            </w:r>
          </w:p>
        </w:tc>
        <w:tc>
          <w:tcPr>
            <w:tcW w:type="dxa" w:w="476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Combien me faudra-t-il ? Quel niveau de vie ? Quel effet de l’inflation ?</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Je veux comparer</w:t>
            </w:r>
          </w:p>
        </w:tc>
        <w:tc>
          <w:tcPr>
            <w:tcW w:type="dxa" w:w="249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Comparer les stratégies</w:t>
            </w:r>
          </w:p>
        </w:tc>
        <w:tc>
          <w:tcPr>
            <w:tcW w:type="dxa" w:w="476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Quelles stratégies correspondent à mon objectif et avec quelle probabilité ?</w:t>
            </w:r>
          </w:p>
        </w:tc>
      </w:tr>
    </w:tbl>
    <w:p>
      <w:pPr>
        <w:spacing w:after="0"/>
      </w:pPr>
    </w:p>
    <w:p>
      <w:pPr/>
      <w:r>
        <w:rPr>
          <w:rFonts w:ascii="Inter" w:hAnsi="Inter"/>
          <w:i w:val="0"/>
        </w:rPr>
        <w:t>Les trois entrées convergent vers le même modèle de données et les mêmes moteurs. Un utilisateur peut commencer par un calcul retraite, ajouter ensuite son contrat, puis comparer ; ou commencer par son contrat et compléter plus tard son objectif retraite.</w:t>
      </w:r>
    </w:p>
    <w:p>
      <w:pPr>
        <w:pStyle w:val="Heading1"/>
        <w:keepNext/>
      </w:pPr>
      <w:r>
        <w:rPr>
          <w:rFonts w:ascii="Inter" w:hAnsi="Inter"/>
        </w:rPr>
        <w:t>25. Comparaison des modèles de service</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374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Service</w:t>
            </w:r>
          </w:p>
        </w:tc>
        <w:tc>
          <w:tcPr>
            <w:tcW w:type="dxa" w:w="187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Agent de compagnie</w:t>
            </w:r>
          </w:p>
        </w:tc>
        <w:tc>
          <w:tcPr>
            <w:tcW w:type="dxa" w:w="204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Courtier traditionnel</w:t>
            </w:r>
          </w:p>
        </w:tc>
        <w:tc>
          <w:tcPr>
            <w:tcW w:type="dxa" w:w="243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CoverView</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Accès à plusieurs solutions</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Limité</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Analyse du contrat actuel</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Systématique lorsque les données le permettent</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Benchmark du marché</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Structuré et documenté</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Analyse des performances</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Analyse des frais</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Partielle</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Détaillée et historisée</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Analyse de l’allocation</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Rapport comparatif</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Suivi périodique</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Structuré</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Réévaluation</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Oui</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Outils numériques</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Variable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Wallet + moteurs + automatisations</w:t>
            </w:r>
          </w:p>
        </w:tc>
      </w:tr>
      <w:tr>
        <w:trPr>
          <w:cantSplit/>
        </w:trPr>
        <w:tc>
          <w:tcPr>
            <w:tcW w:type="dxa" w:w="374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Approche data</w:t>
            </w:r>
          </w:p>
        </w:tc>
        <w:tc>
          <w:tcPr>
            <w:tcW w:type="dxa" w:w="187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04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43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Centrale</w:t>
            </w:r>
          </w:p>
        </w:tc>
      </w:tr>
      <w:tr>
        <w:trPr>
          <w:cantSplit/>
        </w:trPr>
        <w:tc>
          <w:tcPr>
            <w:tcW w:type="dxa" w:w="374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Centralisation du portefeuille</w:t>
            </w:r>
          </w:p>
        </w:tc>
        <w:tc>
          <w:tcPr>
            <w:tcW w:type="dxa" w:w="187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Non</w:t>
            </w:r>
          </w:p>
        </w:tc>
        <w:tc>
          <w:tcPr>
            <w:tcW w:type="dxa" w:w="204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Rare</w:t>
            </w:r>
          </w:p>
        </w:tc>
        <w:tc>
          <w:tcPr>
            <w:tcW w:type="dxa" w:w="243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4"/>
              </w:rPr>
              <w:t>Wallet</w:t>
            </w:r>
          </w:p>
        </w:tc>
      </w:tr>
    </w:tbl>
    <w:p>
      <w:pPr>
        <w:spacing w:after="0"/>
      </w:pPr>
    </w:p>
    <w:p>
      <w:pPr/>
      <w:r>
        <w:rPr>
          <w:rFonts w:ascii="Inter" w:hAnsi="Inter"/>
          <w:i w:val="0"/>
        </w:rPr>
        <w:t>La comparaison doit rester factuelle. Les mentions « rare » ou « variable » doivent être présentées comme des différences de modèle habituelles, et non comme des affirmations absolues sur tous les concurrents.</w:t>
      </w:r>
    </w:p>
    <w:p>
      <w:pPr>
        <w:pStyle w:val="Heading1"/>
        <w:keepNext/>
      </w:pPr>
      <w:r>
        <w:rPr>
          <w:rFonts w:ascii="Inter" w:hAnsi="Inter"/>
        </w:rPr>
        <w:t>26. Études de cas, rapports et contenu</w:t>
      </w:r>
    </w:p>
    <w:p>
      <w:pPr>
        <w:pStyle w:val="Heading2"/>
        <w:keepNext/>
      </w:pPr>
      <w:r>
        <w:rPr>
          <w:rFonts w:ascii="Inter" w:hAnsi="Inter"/>
        </w:rPr>
        <w:t>26.1 Structure d’une étude de cas</w:t>
      </w:r>
    </w:p>
    <w:p>
      <w:pPr>
        <w:spacing w:after="60"/>
        <w:ind w:left="312" w:hanging="238"/>
      </w:pPr>
      <w:r>
        <w:rPr>
          <w:rFonts w:ascii="Inter" w:hAnsi="Inter"/>
          <w:b/>
          <w:color w:val="6D4AFF"/>
        </w:rPr>
        <w:t xml:space="preserve">1. </w:t>
      </w:r>
      <w:r>
        <w:rPr>
          <w:rFonts w:ascii="Inter" w:hAnsi="Inter"/>
        </w:rPr>
        <w:t>Situation initiale : profil, objectif et problème sans données identifiantes.</w:t>
      </w:r>
    </w:p>
    <w:p>
      <w:pPr>
        <w:spacing w:after="60"/>
        <w:ind w:left="312" w:hanging="238"/>
      </w:pPr>
      <w:r>
        <w:rPr>
          <w:rFonts w:ascii="Inter" w:hAnsi="Inter"/>
          <w:b/>
          <w:color w:val="6D4AFF"/>
        </w:rPr>
        <w:t xml:space="preserve">2. </w:t>
      </w:r>
      <w:r>
        <w:rPr>
          <w:rFonts w:ascii="Inter" w:hAnsi="Inter"/>
        </w:rPr>
        <w:t>Analyse : contrat, frais, allocation, garanties, flexibilité et incohérences.</w:t>
      </w:r>
    </w:p>
    <w:p>
      <w:pPr>
        <w:spacing w:after="60"/>
        <w:ind w:left="312" w:hanging="238"/>
      </w:pPr>
      <w:r>
        <w:rPr>
          <w:rFonts w:ascii="Inter" w:hAnsi="Inter"/>
          <w:b/>
          <w:color w:val="6D4AFF"/>
        </w:rPr>
        <w:t xml:space="preserve">3. </w:t>
      </w:r>
      <w:r>
        <w:rPr>
          <w:rFonts w:ascii="Inter" w:hAnsi="Inter"/>
        </w:rPr>
        <w:t>Benchmark : comparaison à une cohorte ou à des alternatives pertinentes.</w:t>
      </w:r>
    </w:p>
    <w:p>
      <w:pPr>
        <w:spacing w:after="60"/>
        <w:ind w:left="312" w:hanging="238"/>
      </w:pPr>
      <w:r>
        <w:rPr>
          <w:rFonts w:ascii="Inter" w:hAnsi="Inter"/>
          <w:b/>
          <w:color w:val="6D4AFF"/>
        </w:rPr>
        <w:t xml:space="preserve">4. </w:t>
      </w:r>
      <w:r>
        <w:rPr>
          <w:rFonts w:ascii="Inter" w:hAnsi="Inter"/>
        </w:rPr>
        <w:t>Décision : conserver, modifier, attendre, transférer ou compléter.</w:t>
      </w:r>
    </w:p>
    <w:p>
      <w:pPr>
        <w:spacing w:after="60"/>
        <w:ind w:left="312" w:hanging="238"/>
      </w:pPr>
      <w:r>
        <w:rPr>
          <w:rFonts w:ascii="Inter" w:hAnsi="Inter"/>
          <w:b/>
          <w:color w:val="6D4AFF"/>
        </w:rPr>
        <w:t xml:space="preserve">5. </w:t>
      </w:r>
      <w:r>
        <w:rPr>
          <w:rFonts w:ascii="Inter" w:hAnsi="Inter"/>
        </w:rPr>
        <w:t>Résultat : critères améliorés, risques évités ou décision confirmée.</w:t>
      </w:r>
    </w:p>
    <w:p>
      <w:pPr/>
      <w:r>
        <w:rPr>
          <w:rFonts w:ascii="Inter" w:hAnsi="Inter"/>
          <w:i w:val="0"/>
        </w:rPr>
        <w:t>Les études de cas doivent aussi démontrer qu’une analyse ne conduit pas systématiquement au remplacement d’un contrat. Une recommandation de maintien peut renforcer la crédibilité de CoverView.</w:t>
      </w:r>
    </w:p>
    <w:p>
      <w:pPr>
        <w:pStyle w:val="Heading2"/>
        <w:keepNext/>
      </w:pPr>
      <w:r>
        <w:rPr>
          <w:rFonts w:ascii="Inter" w:hAnsi="Inter"/>
        </w:rPr>
        <w:t>26.2 Structure d’un rapport CoverView</w:t>
      </w:r>
    </w:p>
    <w:p>
      <w:pPr>
        <w:pStyle w:val="ListBullet"/>
        <w:spacing w:after="50"/>
        <w:ind w:left="312" w:hanging="102"/>
      </w:pPr>
      <w:r>
        <w:rPr>
          <w:rFonts w:ascii="Inter" w:hAnsi="Inter"/>
        </w:rPr>
        <w:t>situation et objectifs ;</w:t>
      </w:r>
    </w:p>
    <w:p>
      <w:pPr>
        <w:pStyle w:val="ListBullet"/>
        <w:spacing w:after="50"/>
        <w:ind w:left="312" w:hanging="102"/>
      </w:pPr>
      <w:r>
        <w:rPr>
          <w:rFonts w:ascii="Inter" w:hAnsi="Inter"/>
        </w:rPr>
        <w:t>inventaire des contrats ;</w:t>
      </w:r>
    </w:p>
    <w:p>
      <w:pPr>
        <w:pStyle w:val="ListBullet"/>
        <w:spacing w:after="50"/>
        <w:ind w:left="312" w:hanging="102"/>
      </w:pPr>
      <w:r>
        <w:rPr>
          <w:rFonts w:ascii="Inter" w:hAnsi="Inter"/>
        </w:rPr>
        <w:t>frais et valeurs ;</w:t>
      </w:r>
    </w:p>
    <w:p>
      <w:pPr>
        <w:pStyle w:val="ListBullet"/>
        <w:spacing w:after="50"/>
        <w:ind w:left="312" w:hanging="102"/>
      </w:pPr>
      <w:r>
        <w:rPr>
          <w:rFonts w:ascii="Inter" w:hAnsi="Inter"/>
        </w:rPr>
        <w:t>allocation et fonds ;</w:t>
      </w:r>
    </w:p>
    <w:p>
      <w:pPr>
        <w:pStyle w:val="ListBullet"/>
        <w:spacing w:after="50"/>
        <w:ind w:left="312" w:hanging="102"/>
      </w:pPr>
      <w:r>
        <w:rPr>
          <w:rFonts w:ascii="Inter" w:hAnsi="Inter"/>
        </w:rPr>
        <w:t>performance, risque et diversification ;</w:t>
      </w:r>
    </w:p>
    <w:p>
      <w:pPr>
        <w:pStyle w:val="ListBullet"/>
        <w:spacing w:after="50"/>
        <w:ind w:left="312" w:hanging="102"/>
      </w:pPr>
      <w:r>
        <w:rPr>
          <w:rFonts w:ascii="Inter" w:hAnsi="Inter"/>
        </w:rPr>
        <w:t>garanties et protections ;</w:t>
      </w:r>
    </w:p>
    <w:p>
      <w:pPr>
        <w:pStyle w:val="ListBullet"/>
        <w:spacing w:after="50"/>
        <w:ind w:left="312" w:hanging="102"/>
      </w:pPr>
      <w:r>
        <w:rPr>
          <w:rFonts w:ascii="Inter" w:hAnsi="Inter"/>
        </w:rPr>
        <w:t>benchmark ;</w:t>
      </w:r>
    </w:p>
    <w:p>
      <w:pPr>
        <w:pStyle w:val="ListBullet"/>
        <w:spacing w:after="50"/>
        <w:ind w:left="312" w:hanging="102"/>
      </w:pPr>
      <w:r>
        <w:rPr>
          <w:rFonts w:ascii="Inter" w:hAnsi="Inter"/>
        </w:rPr>
        <w:t>projection retraite et inflation ;</w:t>
      </w:r>
    </w:p>
    <w:p>
      <w:pPr>
        <w:pStyle w:val="ListBullet"/>
        <w:spacing w:after="50"/>
        <w:ind w:left="312" w:hanging="102"/>
      </w:pPr>
      <w:r>
        <w:rPr>
          <w:rFonts w:ascii="Inter" w:hAnsi="Inter"/>
        </w:rPr>
        <w:t>alternatives et recommandations ;</w:t>
      </w:r>
    </w:p>
    <w:p>
      <w:pPr>
        <w:pStyle w:val="ListBullet"/>
        <w:spacing w:after="50"/>
        <w:ind w:left="312" w:hanging="102"/>
      </w:pPr>
      <w:r>
        <w:rPr>
          <w:rFonts w:ascii="Inter" w:hAnsi="Inter"/>
        </w:rPr>
        <w:t>hypothèses, sources et prochaines actions.</w:t>
      </w:r>
    </w:p>
    <w:p>
      <w:pPr>
        <w:pStyle w:val="Heading2"/>
        <w:keepNext/>
      </w:pPr>
      <w:r>
        <w:rPr>
          <w:rFonts w:ascii="Inter" w:hAnsi="Inter"/>
        </w:rPr>
        <w:t>26.3 Réutilisation d’Instagram</w:t>
      </w:r>
    </w:p>
    <w:p>
      <w:pPr/>
      <w:r>
        <w:rPr>
          <w:rFonts w:ascii="Inter" w:hAnsi="Inter"/>
          <w:i w:val="0"/>
        </w:rPr>
        <w:t>Chaque carrousel important peut être transformé en article complet, FAQ, extrait pédagogique et contenu structuré. Le site et les comptes sociaux doivent utiliser des identités cohérentes, se relier dans les deux sens et renforcer le même graphe d’entité autour de Sébastien Martin et CoverView.</w:t>
      </w:r>
    </w:p>
    <w:p>
      <w:pPr>
        <w:pStyle w:val="Heading1"/>
        <w:keepNext/>
      </w:pPr>
      <w:r>
        <w:rPr>
          <w:rFonts w:ascii="Inter" w:hAnsi="Inter"/>
        </w:rPr>
        <w:t>27. FAQ conversationnelle</w:t>
      </w:r>
    </w:p>
    <w:p>
      <w:pPr>
        <w:pStyle w:val="ListBullet"/>
        <w:spacing w:after="50"/>
        <w:ind w:left="312" w:hanging="102"/>
      </w:pPr>
      <w:r>
        <w:rPr>
          <w:rFonts w:ascii="Inter" w:hAnsi="Inter"/>
        </w:rPr>
        <w:t>Comment savoir si mon 3e pilier est bon ?</w:t>
      </w:r>
    </w:p>
    <w:p>
      <w:pPr>
        <w:pStyle w:val="ListBullet"/>
        <w:spacing w:after="50"/>
        <w:ind w:left="312" w:hanging="102"/>
      </w:pPr>
      <w:r>
        <w:rPr>
          <w:rFonts w:ascii="Inter" w:hAnsi="Inter"/>
        </w:rPr>
        <w:t>Comment comparer deux troisièmes piliers ?</w:t>
      </w:r>
    </w:p>
    <w:p>
      <w:pPr>
        <w:pStyle w:val="ListBullet"/>
        <w:spacing w:after="50"/>
        <w:ind w:left="312" w:hanging="102"/>
      </w:pPr>
      <w:r>
        <w:rPr>
          <w:rFonts w:ascii="Inter" w:hAnsi="Inter"/>
        </w:rPr>
        <w:t>Comment retrouver mes avoirs LPP ?</w:t>
      </w:r>
    </w:p>
    <w:p>
      <w:pPr>
        <w:pStyle w:val="ListBullet"/>
        <w:spacing w:after="50"/>
        <w:ind w:left="312" w:hanging="102"/>
      </w:pPr>
      <w:r>
        <w:rPr>
          <w:rFonts w:ascii="Inter" w:hAnsi="Inter"/>
        </w:rPr>
        <w:t>Comment récupérer des contrats que je ne retrouve plus ?</w:t>
      </w:r>
    </w:p>
    <w:p>
      <w:pPr>
        <w:pStyle w:val="ListBullet"/>
        <w:spacing w:after="50"/>
        <w:ind w:left="312" w:hanging="102"/>
      </w:pPr>
      <w:r>
        <w:rPr>
          <w:rFonts w:ascii="Inter" w:hAnsi="Inter"/>
        </w:rPr>
        <w:t>Un courtier peut-il analyser un contrat existant ?</w:t>
      </w:r>
    </w:p>
    <w:p>
      <w:pPr>
        <w:pStyle w:val="ListBullet"/>
        <w:spacing w:after="50"/>
        <w:ind w:left="312" w:hanging="102"/>
      </w:pPr>
      <w:r>
        <w:rPr>
          <w:rFonts w:ascii="Inter" w:hAnsi="Inter"/>
        </w:rPr>
        <w:t>Courtier ou banque pour un troisième pilier ?</w:t>
      </w:r>
    </w:p>
    <w:p>
      <w:pPr>
        <w:pStyle w:val="ListBullet"/>
        <w:spacing w:after="50"/>
        <w:ind w:left="312" w:hanging="102"/>
      </w:pPr>
      <w:r>
        <w:rPr>
          <w:rFonts w:ascii="Inter" w:hAnsi="Inter"/>
        </w:rPr>
        <w:t>Quels sont les frais de mon contrat ?</w:t>
      </w:r>
    </w:p>
    <w:p>
      <w:pPr>
        <w:pStyle w:val="ListBullet"/>
        <w:spacing w:after="50"/>
        <w:ind w:left="312" w:hanging="102"/>
      </w:pPr>
      <w:r>
        <w:rPr>
          <w:rFonts w:ascii="Inter" w:hAnsi="Inter"/>
        </w:rPr>
        <w:t>Puis-je modifier l’allocation de mon 3e pilier ?</w:t>
      </w:r>
    </w:p>
    <w:p>
      <w:pPr>
        <w:pStyle w:val="ListBullet"/>
        <w:spacing w:after="50"/>
        <w:ind w:left="312" w:hanging="102"/>
      </w:pPr>
      <w:r>
        <w:rPr>
          <w:rFonts w:ascii="Inter" w:hAnsi="Inter"/>
        </w:rPr>
        <w:t>Comment fonctionne une procuration pour récupérer mes documents ?</w:t>
      </w:r>
    </w:p>
    <w:p>
      <w:pPr>
        <w:pStyle w:val="ListBullet"/>
        <w:spacing w:after="50"/>
        <w:ind w:left="312" w:hanging="102"/>
      </w:pPr>
      <w:r>
        <w:rPr>
          <w:rFonts w:ascii="Inter" w:hAnsi="Inter"/>
        </w:rPr>
        <w:t>Quelle cotisation me permet d’atteindre mon objectif retraite ?</w:t>
      </w:r>
    </w:p>
    <w:p>
      <w:pPr>
        <w:pStyle w:val="ListBullet"/>
      </w:pPr>
      <w:r>
        <w:t>Suis-je couvert si un événement précis se produit ?</w:t>
      </w:r>
    </w:p>
    <w:p>
      <w:pPr>
        <w:pStyle w:val="ListBullet"/>
      </w:pPr>
      <w:r>
        <w:t>Sur quelles clauses CoverView fonde-t-il une réponse de couverture ?</w:t>
      </w:r>
    </w:p>
    <w:p>
      <w:pPr>
        <w:pStyle w:val="ListBullet"/>
      </w:pPr>
      <w:r>
        <w:t>Comment gagner et utiliser les Miles CoverView ?</w:t>
      </w:r>
    </w:p>
    <w:p>
      <w:pPr>
        <w:pStyle w:val="ListBullet"/>
      </w:pPr>
      <w:r>
        <w:t>À quoi sert la carte digitale CoverView ?</w:t>
      </w:r>
    </w:p>
    <w:p>
      <w:pPr>
        <w:pStyle w:val="ListBullet"/>
        <w:keepNext w:val="0"/>
      </w:pPr>
      <w:r>
        <w:t>Combien puis-je réellement me permettre de dépenser à la retraite ?</w:t>
      </w:r>
    </w:p>
    <w:p>
      <w:pPr>
        <w:pStyle w:val="ListBullet"/>
        <w:keepNext w:val="0"/>
      </w:pPr>
      <w:r>
        <w:t>Rente LPP, capital ou mix : quels compromis pour mon foyer ?</w:t>
      </w:r>
    </w:p>
    <w:p>
      <w:pPr>
        <w:pStyle w:val="ListBullet"/>
        <w:keepNext w:val="0"/>
      </w:pPr>
      <w:r>
        <w:t>Comment mon plan résiste-t-il à une longue retraite ou à un séjour en EMS ?</w:t>
      </w:r>
    </w:p>
    <w:p>
      <w:pPr>
        <w:pStyle w:val="Heading1"/>
        <w:keepNext/>
      </w:pPr>
      <w:r>
        <w:rPr>
          <w:rFonts w:ascii="Inter" w:hAnsi="Inter"/>
        </w:rPr>
        <w:t>28. Lisibilité par Google et les LLM</w:t>
      </w:r>
    </w:p>
    <w:p>
      <w:pPr/>
      <w:r>
        <w:rPr>
          <w:rFonts w:ascii="Inter" w:hAnsi="Inter"/>
          <w:i w:val="0"/>
        </w:rPr>
        <w:t>Le site doit devenir la source canonique sur l’identité, l’expertise, la méthode et les services de CoverView. Il ne s’agit pas de créer un contenu caché différent pour les robots, mais de fournir une version sémantiquement claire et équivalente du contenu public.</w:t>
      </w:r>
    </w:p>
    <w:p>
      <w:pPr>
        <w:pStyle w:val="Heading2"/>
        <w:keepNext/>
      </w:pPr>
      <w:r>
        <w:rPr>
          <w:rFonts w:ascii="Inter" w:hAnsi="Inter"/>
        </w:rPr>
        <w:t>28.1 Couche machine-readable</w:t>
      </w:r>
    </w:p>
    <w:p>
      <w:pPr>
        <w:pStyle w:val="ListBullet"/>
        <w:spacing w:after="50"/>
        <w:ind w:left="312" w:hanging="102"/>
      </w:pPr>
      <w:r>
        <w:rPr>
          <w:rFonts w:ascii="Inter" w:hAnsi="Inter"/>
        </w:rPr>
        <w:t>HTML sémantique accessible sans dépendance excessive au JavaScript ;</w:t>
      </w:r>
    </w:p>
    <w:p>
      <w:pPr>
        <w:pStyle w:val="ListBullet"/>
        <w:spacing w:after="50"/>
        <w:ind w:left="312" w:hanging="102"/>
      </w:pPr>
      <w:r>
        <w:rPr>
          <w:rFonts w:ascii="Inter" w:hAnsi="Inter"/>
        </w:rPr>
        <w:t>pages structurées par question, service, méthode et cas d’usage ;</w:t>
      </w:r>
    </w:p>
    <w:p>
      <w:pPr>
        <w:pStyle w:val="ListBullet"/>
        <w:spacing w:after="50"/>
        <w:ind w:left="312" w:hanging="102"/>
      </w:pPr>
      <w:r>
        <w:rPr>
          <w:rFonts w:ascii="Inter" w:hAnsi="Inter"/>
        </w:rPr>
        <w:t>données structurées Person, Organization, FinancialService, Service, Article, FAQPage et SoftwareApplication ;</w:t>
      </w:r>
    </w:p>
    <w:p>
      <w:pPr>
        <w:pStyle w:val="ListBullet"/>
        <w:spacing w:after="50"/>
        <w:ind w:left="312" w:hanging="102"/>
      </w:pPr>
      <w:r>
        <w:rPr>
          <w:rFonts w:ascii="Inter" w:hAnsi="Inter"/>
        </w:rPr>
        <w:t>auteurs, dates de publication et dates de mise à jour explicites ;</w:t>
      </w:r>
    </w:p>
    <w:p>
      <w:pPr>
        <w:pStyle w:val="ListBullet"/>
        <w:spacing w:after="50"/>
        <w:ind w:left="312" w:hanging="102"/>
      </w:pPr>
      <w:r>
        <w:rPr>
          <w:rFonts w:ascii="Inter" w:hAnsi="Inter"/>
        </w:rPr>
        <w:t>sitemap, flux éditorial et liens internes cohérents ;</w:t>
      </w:r>
    </w:p>
    <w:p>
      <w:pPr>
        <w:pStyle w:val="ListBullet"/>
        <w:spacing w:after="50"/>
        <w:ind w:left="312" w:hanging="102"/>
      </w:pPr>
      <w:r>
        <w:rPr>
          <w:rFonts w:ascii="Inter" w:hAnsi="Inter"/>
        </w:rPr>
        <w:t>miroirs Markdown ou endpoints de contenu lorsque cela facilite l’ingestion, toujours équivalents au contenu visible ;</w:t>
      </w:r>
    </w:p>
    <w:p>
      <w:pPr>
        <w:pStyle w:val="ListBullet"/>
        <w:spacing w:after="50"/>
        <w:ind w:left="312" w:hanging="102"/>
      </w:pPr>
      <w:r>
        <w:rPr>
          <w:rFonts w:ascii="Inter" w:hAnsi="Inter"/>
        </w:rPr>
        <w:t>glossaire et pages de référence stables ;</w:t>
      </w:r>
    </w:p>
    <w:p>
      <w:pPr>
        <w:pStyle w:val="ListBullet"/>
        <w:spacing w:after="50"/>
        <w:ind w:left="312" w:hanging="102"/>
      </w:pPr>
      <w:r>
        <w:rPr>
          <w:rFonts w:ascii="Inter" w:hAnsi="Inter"/>
        </w:rPr>
        <w:t>liens cohérents vers Instagram, LinkedIn, presse et profils vérifiables ;</w:t>
      </w:r>
    </w:p>
    <w:p>
      <w:pPr>
        <w:pStyle w:val="ListBullet"/>
        <w:spacing w:after="50"/>
        <w:ind w:left="312" w:hanging="102"/>
      </w:pPr>
      <w:r>
        <w:rPr>
          <w:rFonts w:ascii="Inter" w:hAnsi="Inter"/>
        </w:rPr>
        <w:t>fichiers de découverte pour agents IA lorsque pertinents, sans cloaking.</w:t>
      </w:r>
    </w:p>
    <w:p>
      <w:pPr>
        <w:pStyle w:val="Heading2"/>
        <w:keepNext/>
      </w:pPr>
      <w:r>
        <w:rPr>
          <w:rFonts w:ascii="Inter" w:hAnsi="Inter"/>
        </w:rPr>
        <w:t>28.2 Graphe d’entité recherché</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Sébastien Martin -&gt; CoverView -&gt; Genève / Suisse</w:t>
            </w:r>
            <w:r>
              <w:br/>
            </w:r>
            <w:r>
              <w:rPr>
                <w:rFonts w:ascii="DejaVu Sans Mono" w:hAnsi="DejaVu Sans Mono"/>
                <w:color w:val="1A1D2B"/>
                <w:sz w:val="16"/>
              </w:rPr>
              <w:t>-&gt; courtage, prévoyance, 3a, 3b, LPP</w:t>
            </w:r>
            <w:r>
              <w:br/>
            </w:r>
            <w:r>
              <w:rPr>
                <w:rFonts w:ascii="DejaVu Sans Mono" w:hAnsi="DejaVu Sans Mono"/>
                <w:color w:val="1A1D2B"/>
                <w:sz w:val="16"/>
              </w:rPr>
              <w:t>-&gt; ingénierie, data, benchmark, investissement</w:t>
            </w:r>
            <w:r>
              <w:br/>
            </w:r>
            <w:r>
              <w:rPr>
                <w:rFonts w:ascii="DejaVu Sans Mono" w:hAnsi="DejaVu Sans Mono"/>
                <w:color w:val="1A1D2B"/>
                <w:sz w:val="16"/>
              </w:rPr>
              <w:t>-&gt; analyses, outils, contenus, études de cas</w:t>
            </w:r>
          </w:p>
        </w:tc>
      </w:tr>
    </w:tbl>
    <w:p>
      <w:pPr>
        <w:spacing w:after="0"/>
      </w:pPr>
    </w:p>
    <w:p>
      <w:pPr>
        <w:pStyle w:val="Heading1"/>
        <w:keepNext/>
      </w:pPr>
      <w:r>
        <w:rPr>
          <w:rFonts w:ascii="Inter" w:hAnsi="Inter"/>
        </w:rPr>
        <w:t>29. Attribution et mesure de l’acquisition IA</w:t>
      </w:r>
    </w:p>
    <w:p>
      <w:pPr/>
      <w:r>
        <w:rPr>
          <w:rFonts w:ascii="Inter" w:hAnsi="Inter"/>
          <w:i w:val="0"/>
        </w:rPr>
        <w:t>L’appel d’un prospect ayant trouvé CoverView via ChatGPT est un signal stratégique. Le site doit mesurer cette provenance sans dépendre uniquement des UTM, souvent absents dans les moteurs de réponse.</w:t>
      </w:r>
    </w:p>
    <w:p>
      <w:pPr>
        <w:pStyle w:val="ListBullet"/>
        <w:spacing w:after="50"/>
        <w:ind w:left="312" w:hanging="102"/>
      </w:pPr>
      <w:r>
        <w:rPr>
          <w:rFonts w:ascii="Inter" w:hAnsi="Inter"/>
        </w:rPr>
        <w:t>champ léger « Comment nous avez-vous trouvé ? » incluant ChatGPT / autre IA ;</w:t>
      </w:r>
    </w:p>
    <w:p>
      <w:pPr>
        <w:pStyle w:val="ListBullet"/>
        <w:spacing w:after="50"/>
        <w:ind w:left="312" w:hanging="102"/>
      </w:pPr>
      <w:r>
        <w:rPr>
          <w:rFonts w:ascii="Inter" w:hAnsi="Inter"/>
        </w:rPr>
        <w:t>événement analytics lorsque le visiteur déclare une source IA ;</w:t>
      </w:r>
    </w:p>
    <w:p>
      <w:pPr>
        <w:pStyle w:val="ListBullet"/>
        <w:spacing w:after="50"/>
        <w:ind w:left="312" w:hanging="102"/>
      </w:pPr>
      <w:r>
        <w:rPr>
          <w:rFonts w:ascii="Inter" w:hAnsi="Inter"/>
        </w:rPr>
        <w:t>suivi des pages d’entrée, requêtes référentes disponibles et conversion ;</w:t>
      </w:r>
    </w:p>
    <w:p>
      <w:pPr>
        <w:pStyle w:val="ListBullet"/>
        <w:spacing w:after="50"/>
        <w:ind w:left="312" w:hanging="102"/>
      </w:pPr>
      <w:r>
        <w:rPr>
          <w:rFonts w:ascii="Inter" w:hAnsi="Inter"/>
        </w:rPr>
        <w:t>analyse qualitative des formulations utilisées par les prospects ;</w:t>
      </w:r>
    </w:p>
    <w:p>
      <w:pPr>
        <w:pStyle w:val="ListBullet"/>
        <w:spacing w:after="50"/>
        <w:ind w:left="312" w:hanging="102"/>
      </w:pPr>
      <w:r>
        <w:rPr>
          <w:rFonts w:ascii="Inter" w:hAnsi="Inter"/>
        </w:rPr>
        <w:t>création de nouvelles FAQ et études de cas à partir des vraies questions.</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V</w:t>
            </w:r>
          </w:p>
          <w:p>
            <w:pPr>
              <w:spacing w:after="0"/>
            </w:pPr>
            <w:r>
              <w:rPr>
                <w:rFonts w:ascii="Inter" w:hAnsi="Inter"/>
                <w:color w:val="E7E8FF"/>
                <w:sz w:val="20"/>
              </w:rPr>
              <w:t>Capacités transactionnelles et automatisations transversales</w:t>
            </w:r>
          </w:p>
        </w:tc>
      </w:tr>
    </w:tbl>
    <w:p>
      <w:pPr>
        <w:spacing w:after="0"/>
      </w:pPr>
    </w:p>
    <w:p>
      <w:pPr>
        <w:pStyle w:val="Heading1"/>
        <w:keepNext/>
      </w:pPr>
      <w:r>
        <w:rPr>
          <w:rFonts w:ascii="Inter" w:hAnsi="Inter"/>
        </w:rPr>
        <w:t>30. Session anonyme et rattachement au compte</w:t>
      </w:r>
    </w:p>
    <w:p>
      <w:pPr/>
      <w:r>
        <w:rPr>
          <w:rFonts w:ascii="Inter" w:hAnsi="Inter"/>
          <w:i w:val="0"/>
        </w:rPr>
        <w:t>Le site doit permettre de commencer sans compte. Les données temporaires sont associées à une session anonyme. Lorsque l’utilisateur veut sauvegarder, recevoir un audit ou suivre une démarche, il s’identifie par email/OTP. La session et tous ses objets sont alors rattachés au compte sans nouvel upload ni nouvelle saisie.</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anonymousSessionId -&gt; userId</w:t>
            </w:r>
            <w:r>
              <w:br/>
            </w:r>
            <w:r>
              <w:rPr>
                <w:rFonts w:ascii="DejaVu Sans Mono" w:hAnsi="DejaVu Sans Mono"/>
                <w:color w:val="1A1D2B"/>
                <w:sz w:val="16"/>
              </w:rPr>
              <w:t>UploadedDocument -&gt; ContractAnalysis</w:t>
            </w:r>
            <w:r>
              <w:br/>
            </w:r>
            <w:r>
              <w:rPr>
                <w:rFonts w:ascii="DejaVu Sans Mono" w:hAnsi="DejaVu Sans Mono"/>
                <w:color w:val="1A1D2B"/>
                <w:sz w:val="16"/>
              </w:rPr>
              <w:t>RetirementSimulation -&gt; SavedSimulation</w:t>
            </w:r>
            <w:r>
              <w:br/>
            </w:r>
            <w:r>
              <w:rPr>
                <w:rFonts w:ascii="DejaVu Sans Mono" w:hAnsi="DejaVu Sans Mono"/>
                <w:color w:val="1A1D2B"/>
                <w:sz w:val="16"/>
              </w:rPr>
              <w:t>PublicComparison -&gt; SavedComparison</w:t>
            </w:r>
          </w:p>
        </w:tc>
      </w:tr>
    </w:tbl>
    <w:p>
      <w:pPr>
        <w:spacing w:after="0"/>
      </w:pPr>
    </w:p>
    <w:p>
      <w:pPr>
        <w:pStyle w:val="Heading1"/>
        <w:keepNext/>
      </w:pPr>
      <w:r>
        <w:rPr>
          <w:rFonts w:ascii="Inter" w:hAnsi="Inter"/>
        </w:rPr>
        <w:t>31. Profil, préremplissage et scan d’identité</w:t>
      </w:r>
    </w:p>
    <w:p>
      <w:pPr/>
      <w:r>
        <w:rPr>
          <w:rFonts w:ascii="Inter" w:hAnsi="Inter"/>
          <w:i w:val="0"/>
        </w:rPr>
        <w:t>Le profil client est central. Le scan d’une pièce d’identité ne doit pas remplir un seul formulaire isolé : il enrichit le profil réutilisable par toutes les démarches autorisées.</w:t>
      </w:r>
    </w:p>
    <w:p>
      <w:pPr>
        <w:pStyle w:val="ListBullet"/>
        <w:spacing w:after="50"/>
        <w:ind w:left="312" w:hanging="102"/>
      </w:pPr>
      <w:r>
        <w:rPr>
          <w:rFonts w:ascii="Inter" w:hAnsi="Inter"/>
        </w:rPr>
        <w:t>nom, prénom, date de naissance et nationalité ;</w:t>
      </w:r>
    </w:p>
    <w:p>
      <w:pPr>
        <w:pStyle w:val="ListBullet"/>
        <w:spacing w:after="50"/>
        <w:ind w:left="312" w:hanging="102"/>
      </w:pPr>
      <w:r>
        <w:rPr>
          <w:rFonts w:ascii="Inter" w:hAnsi="Inter"/>
        </w:rPr>
        <w:t>numéro, type et échéance du document ;</w:t>
      </w:r>
    </w:p>
    <w:p>
      <w:pPr>
        <w:pStyle w:val="ListBullet"/>
        <w:spacing w:after="50"/>
        <w:ind w:left="312" w:hanging="102"/>
      </w:pPr>
      <w:r>
        <w:rPr>
          <w:rFonts w:ascii="Inter" w:hAnsi="Inter"/>
        </w:rPr>
        <w:t>adresse si présente et fiable ;</w:t>
      </w:r>
    </w:p>
    <w:p>
      <w:pPr>
        <w:pStyle w:val="ListBullet"/>
        <w:spacing w:after="50"/>
        <w:ind w:left="312" w:hanging="102"/>
      </w:pPr>
      <w:r>
        <w:rPr>
          <w:rFonts w:ascii="Inter" w:hAnsi="Inter"/>
        </w:rPr>
        <w:t>niveau de confiance par champ ;</w:t>
      </w:r>
    </w:p>
    <w:p>
      <w:pPr>
        <w:pStyle w:val="ListBullet"/>
        <w:spacing w:after="50"/>
        <w:ind w:left="312" w:hanging="102"/>
      </w:pPr>
      <w:r>
        <w:rPr>
          <w:rFonts w:ascii="Inter" w:hAnsi="Inter"/>
        </w:rPr>
        <w:t>écran de vérification et correction ;</w:t>
      </w:r>
    </w:p>
    <w:p>
      <w:pPr>
        <w:pStyle w:val="ListBullet"/>
        <w:spacing w:after="50"/>
        <w:ind w:left="312" w:hanging="102"/>
      </w:pPr>
      <w:r>
        <w:rPr>
          <w:rFonts w:ascii="Inter" w:hAnsi="Inter"/>
        </w:rPr>
        <w:t>source et date de confirmation ;</w:t>
      </w:r>
    </w:p>
    <w:p>
      <w:pPr>
        <w:pStyle w:val="ListBullet"/>
        <w:spacing w:after="50"/>
        <w:ind w:left="312" w:hanging="102"/>
      </w:pPr>
      <w:r>
        <w:rPr>
          <w:rFonts w:ascii="Inter" w:hAnsi="Inter"/>
        </w:rPr>
        <w:t>politique de conservation séparée pour l’image et les données extraites.</w:t>
      </w:r>
    </w:p>
    <w:tbl>
      <w:tblPr>
        <w:tblW w:type="auto" w:w="0"/>
        <w:jc w:val="center"/>
        <w:tblLayout w:type="autofit"/>
        <w:tblLook w:firstColumn="1" w:firstRow="1" w:lastColumn="0" w:lastRow="0" w:noHBand="0" w:noVBand="1" w:val="04A0"/>
      </w:tblPr>
      <w:tblGrid>
        <w:gridCol w:w="9978"/>
      </w:tblGrid>
      <w:tr>
        <w:tc>
          <w:tcPr>
            <w:tcW w:type="dxa" w:w="9978"/>
            <w:shd w:fill="DCE6FF" w:val="clear"/>
            <w:tcBorders>
              <w:top w:sz="8" w:val="single" w:color="6789D6"/>
              <w:left w:sz="16" w:val="single" w:color="6789D6"/>
              <w:bottom w:sz="8" w:val="single" w:color="6789D6"/>
              <w:right w:sz="8" w:val="single" w:color="6789D6"/>
            </w:tcBorders>
            <w:tcMar>
              <w:top w:w="130" w:type="dxa"/>
              <w:start w:w="170" w:type="dxa"/>
              <w:bottom w:w="130" w:type="dxa"/>
              <w:end w:w="150" w:type="dxa"/>
            </w:tcMar>
          </w:tcPr>
          <w:p>
            <w:pPr>
              <w:spacing w:after="40"/>
            </w:pPr>
            <w:r>
              <w:rPr>
                <w:rFonts w:ascii="Inter" w:hAnsi="Inter"/>
                <w:b/>
                <w:color w:val="25265E"/>
                <w:sz w:val="19"/>
              </w:rPr>
              <w:t>Hiérarchie de confiance</w:t>
            </w:r>
          </w:p>
          <w:p>
            <w:pPr>
              <w:spacing w:after="0"/>
            </w:pPr>
            <w:r>
              <w:rPr>
                <w:rFonts w:ascii="Inter" w:hAnsi="Inter"/>
                <w:color w:val="1A1D2B"/>
                <w:sz w:val="18"/>
              </w:rPr>
              <w:t>Donnée confirmée par l’utilisateur &gt; donnée vérifiée par CoverView &gt; donnée extraite automatiquement non vérifiée.</w:t>
            </w:r>
          </w:p>
        </w:tc>
      </w:tr>
    </w:tbl>
    <w:p>
      <w:pPr>
        <w:spacing w:after="0"/>
      </w:pPr>
    </w:p>
    <w:p>
      <w:pPr>
        <w:pStyle w:val="Heading1"/>
        <w:keepNext/>
      </w:pPr>
      <w:r>
        <w:rPr>
          <w:rFonts w:ascii="Inter" w:hAnsi="Inter"/>
        </w:rPr>
        <w:t>32. Moteur générique de documents</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Template + données + génération + vérification + signature + archivage.</w:t>
            </w:r>
          </w:p>
        </w:tc>
      </w:tr>
    </w:tbl>
    <w:p>
      <w:pPr>
        <w:spacing w:after="0"/>
      </w:pPr>
    </w:p>
    <w:p>
      <w:pPr/>
      <w:r>
        <w:rPr>
          <w:rFonts w:ascii="Inter" w:hAnsi="Inter"/>
          <w:i w:val="0"/>
        </w:rPr>
        <w:t>Le moteur doit éviter de recoder un processus différent pour chaque document. Il gère les variables, les versions, les annexes, les conditions d’affichage, les signataires et les preuves.</w:t>
      </w:r>
    </w:p>
    <w:p>
      <w:pPr>
        <w:pStyle w:val="ListBullet"/>
        <w:spacing w:after="50"/>
        <w:ind w:left="312" w:hanging="102"/>
      </w:pPr>
      <w:r>
        <w:rPr>
          <w:rFonts w:ascii="Inter" w:hAnsi="Inter"/>
        </w:rPr>
        <w:t>procuration de renseignements ;</w:t>
      </w:r>
    </w:p>
    <w:p>
      <w:pPr>
        <w:pStyle w:val="ListBullet"/>
        <w:spacing w:after="50"/>
        <w:ind w:left="312" w:hanging="102"/>
      </w:pPr>
      <w:r>
        <w:rPr>
          <w:rFonts w:ascii="Inter" w:hAnsi="Inter"/>
        </w:rPr>
        <w:t>mandat de gestion ou de courtage ;</w:t>
      </w:r>
    </w:p>
    <w:p>
      <w:pPr>
        <w:pStyle w:val="ListBullet"/>
        <w:spacing w:after="50"/>
        <w:ind w:left="312" w:hanging="102"/>
      </w:pPr>
      <w:r>
        <w:rPr>
          <w:rFonts w:ascii="Inter" w:hAnsi="Inter"/>
        </w:rPr>
        <w:t>consentement et autorisations ;</w:t>
      </w:r>
    </w:p>
    <w:p>
      <w:pPr>
        <w:pStyle w:val="ListBullet"/>
        <w:spacing w:after="50"/>
        <w:ind w:left="312" w:hanging="102"/>
      </w:pPr>
      <w:r>
        <w:rPr>
          <w:rFonts w:ascii="Inter" w:hAnsi="Inter"/>
        </w:rPr>
        <w:t>demande de valeur de rachat ;</w:t>
      </w:r>
    </w:p>
    <w:p>
      <w:pPr>
        <w:pStyle w:val="ListBullet"/>
        <w:spacing w:after="50"/>
        <w:ind w:left="312" w:hanging="102"/>
      </w:pPr>
      <w:r>
        <w:rPr>
          <w:rFonts w:ascii="Inter" w:hAnsi="Inter"/>
        </w:rPr>
        <w:t>résiliation et modification ;</w:t>
      </w:r>
    </w:p>
    <w:p>
      <w:pPr>
        <w:pStyle w:val="ListBullet"/>
        <w:spacing w:after="50"/>
        <w:ind w:left="312" w:hanging="102"/>
      </w:pPr>
      <w:r>
        <w:rPr>
          <w:rFonts w:ascii="Inter" w:hAnsi="Inter"/>
        </w:rPr>
        <w:t>recherche d’avoirs LPP ;</w:t>
      </w:r>
    </w:p>
    <w:p>
      <w:pPr>
        <w:pStyle w:val="ListBullet"/>
        <w:spacing w:after="50"/>
        <w:ind w:left="312" w:hanging="102"/>
      </w:pPr>
      <w:r>
        <w:rPr>
          <w:rFonts w:ascii="Inter" w:hAnsi="Inter"/>
        </w:rPr>
        <w:t>formulaires KYC et futurs documents réglementaires.</w:t>
      </w:r>
    </w:p>
    <w:p>
      <w:pPr>
        <w:pStyle w:val="Heading1"/>
        <w:keepNext/>
      </w:pPr>
      <w:r>
        <w:rPr>
          <w:rFonts w:ascii="Inter" w:hAnsi="Inter"/>
        </w:rPr>
        <w:t>33. Signature électronique</w:t>
      </w:r>
    </w:p>
    <w:p>
      <w:pPr/>
      <w:r>
        <w:rPr>
          <w:rFonts w:ascii="Inter" w:hAnsi="Inter"/>
          <w:i w:val="0"/>
        </w:rPr>
        <w:t>La signature est un service transversal utilisable par coverview.ch, Wallet, Admin et, si nécessaire, Partners. Chaque signature doit générer un dossier de preuve : document exact, version, hash, signataire, date/heure, méthode d’authentification, consentement, adresse technique utile et événements du parcours.</w:t>
      </w:r>
    </w:p>
    <w:p>
      <w:pPr>
        <w:pStyle w:val="Heading2"/>
        <w:keepNext/>
      </w:pPr>
      <w:r>
        <w:rPr>
          <w:rFonts w:ascii="Inter" w:hAnsi="Inter"/>
        </w:rPr>
        <w:t>33.1 Statuts</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DRAFT -&gt; READY_TO_SIGN -&gt; AWAITING_SIGNATURE -&gt; SIGNED -&gt; VALIDATED</w:t>
            </w:r>
            <w:r>
              <w:br/>
            </w:r>
            <w:r>
              <w:rPr>
                <w:rFonts w:ascii="DejaVu Sans Mono" w:hAnsi="DejaVu Sans Mono"/>
                <w:color w:val="1A1D2B"/>
                <w:sz w:val="16"/>
              </w:rPr>
              <w:t xml:space="preserve">                                          \-&gt; DECLINED / EXPIRED / CANCELLED</w:t>
            </w:r>
          </w:p>
        </w:tc>
      </w:tr>
    </w:tbl>
    <w:p>
      <w:pPr>
        <w:spacing w:after="0"/>
      </w:pPr>
    </w:p>
    <w:p>
      <w:pPr/>
      <w:r>
        <w:rPr>
          <w:rFonts w:ascii="Inter" w:hAnsi="Inter"/>
          <w:i w:val="0"/>
        </w:rPr>
        <w:t>Le niveau de signature juridiquement approprié doit être confirmé pour chaque type de document. L’architecture doit pouvoir évoluer vers un prestataire spécialisé sans changer les objets métier.</w:t>
      </w:r>
    </w:p>
    <w:p>
      <w:pPr>
        <w:pStyle w:val="Heading1"/>
        <w:keepNext/>
      </w:pPr>
      <w:r>
        <w:rPr>
          <w:rFonts w:ascii="Inter" w:hAnsi="Inter"/>
        </w:rPr>
        <w:t>34. Pages « Procuration » et « Mandat »</w:t>
      </w:r>
    </w:p>
    <w:p>
      <w:pPr>
        <w:spacing w:after="60"/>
        <w:ind w:left="312" w:hanging="238"/>
      </w:pPr>
      <w:r>
        <w:rPr>
          <w:rFonts w:ascii="Inter" w:hAnsi="Inter"/>
          <w:b/>
          <w:color w:val="6D4AFF"/>
        </w:rPr>
        <w:t xml:space="preserve">1. </w:t>
      </w:r>
      <w:r>
        <w:rPr>
          <w:rFonts w:ascii="Inter" w:hAnsi="Inter"/>
        </w:rPr>
        <w:t>Identification ou récupération de la session connectée.</w:t>
      </w:r>
    </w:p>
    <w:p>
      <w:pPr>
        <w:spacing w:after="60"/>
        <w:ind w:left="312" w:hanging="238"/>
      </w:pPr>
      <w:r>
        <w:rPr>
          <w:rFonts w:ascii="Inter" w:hAnsi="Inter"/>
          <w:b/>
          <w:color w:val="6D4AFF"/>
        </w:rPr>
        <w:t xml:space="preserve">2. </w:t>
      </w:r>
      <w:r>
        <w:rPr>
          <w:rFonts w:ascii="Inter" w:hAnsi="Inter"/>
        </w:rPr>
        <w:t>Préremplissage du profil et scan facultatif de la pièce d’identité.</w:t>
      </w:r>
    </w:p>
    <w:p>
      <w:pPr>
        <w:spacing w:after="60"/>
        <w:ind w:left="312" w:hanging="238"/>
      </w:pPr>
      <w:r>
        <w:rPr>
          <w:rFonts w:ascii="Inter" w:hAnsi="Inter"/>
          <w:b/>
          <w:color w:val="6D4AFF"/>
        </w:rPr>
        <w:t xml:space="preserve">3. </w:t>
      </w:r>
      <w:r>
        <w:rPr>
          <w:rFonts w:ascii="Inter" w:hAnsi="Inter"/>
        </w:rPr>
        <w:t>Sélection du périmètre, des compagnies ou du type de mandat.</w:t>
      </w:r>
    </w:p>
    <w:p>
      <w:pPr>
        <w:spacing w:after="60"/>
        <w:ind w:left="312" w:hanging="238"/>
      </w:pPr>
      <w:r>
        <w:rPr>
          <w:rFonts w:ascii="Inter" w:hAnsi="Inter"/>
          <w:b/>
          <w:color w:val="6D4AFF"/>
        </w:rPr>
        <w:t xml:space="preserve">4. </w:t>
      </w:r>
      <w:r>
        <w:rPr>
          <w:rFonts w:ascii="Inter" w:hAnsi="Inter"/>
        </w:rPr>
        <w:t>Vérification des données et génération du document.</w:t>
      </w:r>
    </w:p>
    <w:p>
      <w:pPr>
        <w:spacing w:after="60"/>
        <w:ind w:left="312" w:hanging="238"/>
      </w:pPr>
      <w:r>
        <w:rPr>
          <w:rFonts w:ascii="Inter" w:hAnsi="Inter"/>
          <w:b/>
          <w:color w:val="6D4AFF"/>
        </w:rPr>
        <w:t xml:space="preserve">5. </w:t>
      </w:r>
      <w:r>
        <w:rPr>
          <w:rFonts w:ascii="Inter" w:hAnsi="Inter"/>
        </w:rPr>
        <w:t>Lecture, consentement et signature électronique.</w:t>
      </w:r>
    </w:p>
    <w:p>
      <w:pPr>
        <w:spacing w:after="60"/>
        <w:ind w:left="312" w:hanging="238"/>
      </w:pPr>
      <w:r>
        <w:rPr>
          <w:rFonts w:ascii="Inter" w:hAnsi="Inter"/>
          <w:b/>
          <w:color w:val="6D4AFF"/>
        </w:rPr>
        <w:t xml:space="preserve">6. </w:t>
      </w:r>
      <w:r>
        <w:rPr>
          <w:rFonts w:ascii="Inter" w:hAnsi="Inter"/>
        </w:rPr>
        <w:t>Archivage du document et de la preuve.</w:t>
      </w:r>
    </w:p>
    <w:p>
      <w:pPr>
        <w:spacing w:after="60"/>
        <w:ind w:left="312" w:hanging="238"/>
      </w:pPr>
      <w:r>
        <w:rPr>
          <w:rFonts w:ascii="Inter" w:hAnsi="Inter"/>
          <w:b/>
          <w:color w:val="6D4AFF"/>
        </w:rPr>
        <w:t xml:space="preserve">7. </w:t>
      </w:r>
      <w:r>
        <w:rPr>
          <w:rFonts w:ascii="Inter" w:hAnsi="Inter"/>
        </w:rPr>
        <w:t>Création ou mise à jour du workflow associé.</w:t>
      </w:r>
    </w:p>
    <w:p>
      <w:pPr>
        <w:spacing w:after="60"/>
        <w:ind w:left="312" w:hanging="238"/>
      </w:pPr>
      <w:r>
        <w:rPr>
          <w:rFonts w:ascii="Inter" w:hAnsi="Inter"/>
          <w:b/>
          <w:color w:val="6D4AFF"/>
        </w:rPr>
        <w:t xml:space="preserve">8. </w:t>
      </w:r>
      <w:r>
        <w:rPr>
          <w:rFonts w:ascii="Inter" w:hAnsi="Inter"/>
        </w:rPr>
        <w:t>Disponibilité immédiate dans Wallet et Admin.</w:t>
      </w:r>
    </w:p>
    <w:p>
      <w:pPr>
        <w:pStyle w:val="Heading1"/>
        <w:keepNext/>
      </w:pPr>
      <w:r>
        <w:rPr>
          <w:rFonts w:ascii="Inter" w:hAnsi="Inter"/>
        </w:rPr>
        <w:t>35. Sauvegardes, comparaisons et favoris</w:t>
      </w:r>
    </w:p>
    <w:p>
      <w:pPr>
        <w:pStyle w:val="Heading2"/>
        <w:keepNext/>
      </w:pPr>
      <w:r>
        <w:rPr>
          <w:rFonts w:ascii="Inter" w:hAnsi="Inter"/>
        </w:rPr>
        <w:t>35.1 SavedComparison</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userId | productIds | inputSnapshot | resultSnapshot</w:t>
            </w:r>
            <w:r>
              <w:br/>
            </w:r>
            <w:r>
              <w:rPr>
                <w:rFonts w:ascii="DejaVu Sans Mono" w:hAnsi="DejaVu Sans Mono"/>
                <w:color w:val="1A1D2B"/>
                <w:sz w:val="16"/>
              </w:rPr>
              <w:t>assumptionSnapshot | engineVersion | createdAt</w:t>
            </w:r>
          </w:p>
        </w:tc>
      </w:tr>
    </w:tbl>
    <w:p>
      <w:pPr>
        <w:spacing w:after="0"/>
      </w:pPr>
    </w:p>
    <w:p>
      <w:pPr>
        <w:pStyle w:val="Heading2"/>
        <w:keepNext/>
      </w:pPr>
      <w:r>
        <w:rPr>
          <w:rFonts w:ascii="Inter" w:hAnsi="Inter"/>
        </w:rPr>
        <w:t>35.2 SavedSimulation</w:t>
      </w:r>
    </w:p>
    <w:p>
      <w:pPr/>
      <w:r>
        <w:rPr>
          <w:rFonts w:ascii="Inter" w:hAnsi="Inter"/>
          <w:i w:val="0"/>
        </w:rPr>
        <w:t>Une simulation sauvegarde les inputs, les résultats et la version du calculateur. Le système peut régénérer une nouvelle version, mais ne doit jamais remplacer silencieusement l’ancienne.</w:t>
      </w:r>
    </w:p>
    <w:p>
      <w:pPr>
        <w:pStyle w:val="Heading2"/>
        <w:keepNext/>
      </w:pPr>
      <w:r>
        <w:rPr>
          <w:rFonts w:ascii="Inter" w:hAnsi="Inter"/>
        </w:rPr>
        <w:t>35.3 Favoris</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UserProductFavorite(userId, productId, createdAt)</w:t>
            </w:r>
          </w:p>
        </w:tc>
      </w:tr>
    </w:tbl>
    <w:p>
      <w:pPr>
        <w:spacing w:after="0"/>
      </w:pPr>
    </w:p>
    <w:p>
      <w:pPr/>
      <w:r>
        <w:rPr>
          <w:rFonts w:ascii="Inter" w:hAnsi="Inter"/>
          <w:i w:val="0"/>
        </w:rPr>
        <w:t>Le même productId canonique est utilisé dans le site, Intelligence, Wallet et Admin. Le favori n’est donc qu’une relation vers l’objet central.</w:t>
      </w:r>
    </w:p>
    <w:p>
      <w:pPr>
        <w:pStyle w:val="Heading1"/>
        <w:keepNext/>
      </w:pPr>
      <w:r>
        <w:rPr>
          <w:rFonts w:ascii="Inter" w:hAnsi="Inter"/>
        </w:rPr>
        <w:t>36. Recherche des avoirs LPP perdus</w:t>
      </w:r>
    </w:p>
    <w:p>
      <w:pPr/>
      <w:r>
        <w:rPr>
          <w:rFonts w:ascii="Inter" w:hAnsi="Inter"/>
          <w:i w:val="0"/>
        </w:rPr>
        <w:t>La recherche LPP doit être proposée sur coverview.ch et dans Wallet. Elle constitue un produit d’acquisition à forte intention et un workflow persistant, pas un simple formulaire envoyé.</w:t>
      </w:r>
    </w:p>
    <w:p>
      <w:pPr>
        <w:pStyle w:val="Heading2"/>
        <w:keepNext/>
      </w:pPr>
      <w:r>
        <w:rPr>
          <w:rFonts w:ascii="Inter" w:hAnsi="Inter"/>
        </w:rPr>
        <w:t>36.1 Page publique</w:t>
      </w:r>
    </w:p>
    <w:p>
      <w:pPr>
        <w:pStyle w:val="ListBullet"/>
        <w:spacing w:after="50"/>
        <w:ind w:left="312" w:hanging="102"/>
      </w:pPr>
      <w:r>
        <w:rPr>
          <w:rFonts w:ascii="Inter" w:hAnsi="Inter"/>
        </w:rPr>
        <w:t>à quoi sert la recherche ;</w:t>
      </w:r>
    </w:p>
    <w:p>
      <w:pPr>
        <w:pStyle w:val="ListBullet"/>
        <w:spacing w:after="50"/>
        <w:ind w:left="312" w:hanging="102"/>
      </w:pPr>
      <w:r>
        <w:rPr>
          <w:rFonts w:ascii="Inter" w:hAnsi="Inter"/>
        </w:rPr>
        <w:t>dans quels cas elle est pertinente ;</w:t>
      </w:r>
    </w:p>
    <w:p>
      <w:pPr>
        <w:pStyle w:val="ListBullet"/>
        <w:spacing w:after="50"/>
        <w:ind w:left="312" w:hanging="102"/>
      </w:pPr>
      <w:r>
        <w:rPr>
          <w:rFonts w:ascii="Inter" w:hAnsi="Inter"/>
        </w:rPr>
        <w:t>informations et documents nécessaires ;</w:t>
      </w:r>
    </w:p>
    <w:p>
      <w:pPr>
        <w:pStyle w:val="ListBullet"/>
        <w:spacing w:after="50"/>
        <w:ind w:left="312" w:hanging="102"/>
      </w:pPr>
      <w:r>
        <w:rPr>
          <w:rFonts w:ascii="Inter" w:hAnsi="Inter"/>
        </w:rPr>
        <w:t>étapes, délais indicatifs et suivi ;</w:t>
      </w:r>
    </w:p>
    <w:p>
      <w:pPr>
        <w:pStyle w:val="ListBullet"/>
        <w:spacing w:after="50"/>
        <w:ind w:left="312" w:hanging="102"/>
      </w:pPr>
      <w:r>
        <w:rPr>
          <w:rFonts w:ascii="Inter" w:hAnsi="Inter"/>
        </w:rPr>
        <w:t>CTA : « Retrouver mes avoirs de deuxième pilier ».</w:t>
      </w:r>
    </w:p>
    <w:p>
      <w:pPr>
        <w:pStyle w:val="Heading2"/>
        <w:keepNext/>
      </w:pPr>
      <w:r>
        <w:rPr>
          <w:rFonts w:ascii="Inter" w:hAnsi="Inter"/>
        </w:rPr>
        <w:t>36.2 Statuts de LppSearchRequest</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DRAFT -&gt; INFORMATION_REQUIRED -&gt; READY_TO_SIGN -&gt; SIGNED</w:t>
            </w:r>
            <w:r>
              <w:br/>
            </w:r>
            <w:r>
              <w:rPr>
                <w:rFonts w:ascii="DejaVu Sans Mono" w:hAnsi="DejaVu Sans Mono"/>
                <w:color w:val="1A1D2B"/>
                <w:sz w:val="16"/>
              </w:rPr>
              <w:t>-&gt; SUBMITTED -&gt; IN_PROGRESS -&gt; RESPONSE_RECEIVED</w:t>
            </w:r>
            <w:r>
              <w:br/>
            </w:r>
            <w:r>
              <w:rPr>
                <w:rFonts w:ascii="DejaVu Sans Mono" w:hAnsi="DejaVu Sans Mono"/>
                <w:color w:val="1A1D2B"/>
                <w:sz w:val="16"/>
              </w:rPr>
              <w:t>-&gt; ASSET_IDENTIFIED -&gt; ACTION_REQUIRED -&gt; COMPLETED</w:t>
            </w:r>
          </w:p>
        </w:tc>
      </w:tr>
    </w:tbl>
    <w:p>
      <w:pPr>
        <w:spacing w:after="0"/>
      </w:pPr>
    </w:p>
    <w:p>
      <w:pPr>
        <w:pStyle w:val="Heading2"/>
        <w:keepNext/>
      </w:pPr>
      <w:r>
        <w:rPr>
          <w:rFonts w:ascii="Inter" w:hAnsi="Inter"/>
        </w:rPr>
        <w:t>36.3 Wallet</w:t>
      </w:r>
    </w:p>
    <w:p>
      <w:pPr>
        <w:pStyle w:val="ListBullet"/>
        <w:spacing w:after="50"/>
        <w:ind w:left="312" w:hanging="102"/>
      </w:pPr>
      <w:r>
        <w:rPr>
          <w:rFonts w:ascii="Inter" w:hAnsi="Inter"/>
        </w:rPr>
        <w:t>timeline ;</w:t>
      </w:r>
    </w:p>
    <w:p>
      <w:pPr>
        <w:pStyle w:val="ListBullet"/>
        <w:spacing w:after="50"/>
        <w:ind w:left="312" w:hanging="102"/>
      </w:pPr>
      <w:r>
        <w:rPr>
          <w:rFonts w:ascii="Inter" w:hAnsi="Inter"/>
        </w:rPr>
        <w:t>documents fournis et manquants ;</w:t>
      </w:r>
    </w:p>
    <w:p>
      <w:pPr>
        <w:pStyle w:val="ListBullet"/>
        <w:spacing w:after="50"/>
        <w:ind w:left="312" w:hanging="102"/>
      </w:pPr>
      <w:r>
        <w:rPr>
          <w:rFonts w:ascii="Inter" w:hAnsi="Inter"/>
        </w:rPr>
        <w:t>statut actuel ;</w:t>
      </w:r>
    </w:p>
    <w:p>
      <w:pPr>
        <w:pStyle w:val="ListBullet"/>
        <w:spacing w:after="50"/>
        <w:ind w:left="312" w:hanging="102"/>
      </w:pPr>
      <w:r>
        <w:rPr>
          <w:rFonts w:ascii="Inter" w:hAnsi="Inter"/>
        </w:rPr>
        <w:t>institutions identifiées ;</w:t>
      </w:r>
    </w:p>
    <w:p>
      <w:pPr>
        <w:pStyle w:val="ListBullet"/>
        <w:spacing w:after="50"/>
        <w:ind w:left="312" w:hanging="102"/>
      </w:pPr>
      <w:r>
        <w:rPr>
          <w:rFonts w:ascii="Inter" w:hAnsi="Inter"/>
        </w:rPr>
        <w:t>messages et demandes complémentaires ;</w:t>
      </w:r>
    </w:p>
    <w:p>
      <w:pPr>
        <w:pStyle w:val="ListBullet"/>
        <w:spacing w:after="50"/>
        <w:ind w:left="312" w:hanging="102"/>
      </w:pPr>
      <w:r>
        <w:rPr>
          <w:rFonts w:ascii="Inter" w:hAnsi="Inter"/>
        </w:rPr>
        <w:t>résultat final et prochaines étapes.</w:t>
      </w:r>
    </w:p>
    <w:p>
      <w:pPr>
        <w:pStyle w:val="Heading1"/>
        <w:keepNext/>
      </w:pPr>
      <w:r>
        <w:rPr>
          <w:rFonts w:ascii="Inter" w:hAnsi="Inter"/>
        </w:rPr>
        <w:t>37. Récupération automatisée des contrats</w:t>
      </w:r>
    </w:p>
    <w:p>
      <w:pPr>
        <w:spacing w:after="60"/>
        <w:jc w:val="center"/>
      </w:pPr>
      <w:r>
        <w:rPr>
          <w:rFonts w:ascii="Inter" w:hAnsi="Inter"/>
        </w:rPr>
        <w:drawing>
          <wp:inline xmlns:a="http://schemas.openxmlformats.org/drawingml/2006/main" xmlns:pic="http://schemas.openxmlformats.org/drawingml/2006/picture">
            <wp:extent cx="6263999" cy="468586"/>
            <wp:docPr id="3" name="Picture 3" descr="Le client donne peu d’informations ; CoverView orchestre la récupération, la digitalisation et l’audit." title="Le client donne peu d’informations ; CoverView orchestre la récupération, la digitalisation et l’audit."/>
            <wp:cNvGraphicFramePr>
              <a:graphicFrameLocks noChangeAspect="1"/>
            </wp:cNvGraphicFramePr>
            <a:graphic>
              <a:graphicData uri="http://schemas.openxmlformats.org/drawingml/2006/picture">
                <pic:pic>
                  <pic:nvPicPr>
                    <pic:cNvPr id="0" name="contract_retrieval.png"/>
                    <pic:cNvPicPr/>
                  </pic:nvPicPr>
                  <pic:blipFill>
                    <a:blip r:embed="rId13"/>
                    <a:stretch>
                      <a:fillRect/>
                    </a:stretch>
                  </pic:blipFill>
                  <pic:spPr>
                    <a:xfrm>
                      <a:off x="0" y="0"/>
                      <a:ext cx="6263999" cy="468586"/>
                    </a:xfrm>
                    <a:prstGeom prst="rect"/>
                  </pic:spPr>
                </pic:pic>
              </a:graphicData>
            </a:graphic>
          </wp:inline>
        </w:drawing>
      </w:r>
    </w:p>
    <w:p>
      <w:pPr>
        <w:pStyle w:val="CoverViewSmall"/>
        <w:jc w:val="center"/>
      </w:pPr>
      <w:r>
        <w:rPr>
          <w:rFonts w:ascii="Inter" w:hAnsi="Inter"/>
          <w:i/>
          <w:color w:val="5F667A"/>
          <w:sz w:val="16"/>
        </w:rPr>
        <w:t>Le client donne peu d’informations ; CoverView orchestre la récupération, la digitalisation et l’audit.</w:t>
      </w:r>
    </w:p>
    <w:p>
      <w:pPr>
        <w:pStyle w:val="Heading2"/>
        <w:keepNext/>
      </w:pPr>
      <w:r>
        <w:rPr>
          <w:rFonts w:ascii="Inter" w:hAnsi="Inter"/>
        </w:rPr>
        <w:t>37.1 Expérience client</w:t>
      </w:r>
    </w:p>
    <w:p>
      <w:pPr/>
      <w:r>
        <w:rPr>
          <w:rFonts w:ascii="Inter" w:hAnsi="Inter"/>
          <w:i w:val="0"/>
        </w:rPr>
        <w:t>Le client indique les compagnies dont il se souvient - par exemple AXA, Generali, Allianz ou d’autres - même s’il ne retrouve plus les documents. Il sélectionne les entités proposées, signe une procuration, puis suit les demandes dans Wallet.</w:t>
      </w:r>
    </w:p>
    <w:p>
      <w:pPr>
        <w:pStyle w:val="Heading2"/>
        <w:keepNext/>
      </w:pPr>
      <w:r>
        <w:rPr>
          <w:rFonts w:ascii="Inter" w:hAnsi="Inter"/>
        </w:rPr>
        <w:t>37.2 ContractRetrievalRequest</w:t>
      </w:r>
    </w:p>
    <w:p>
      <w:pPr>
        <w:pStyle w:val="ListBullet"/>
        <w:spacing w:after="50"/>
        <w:ind w:left="312" w:hanging="102"/>
      </w:pPr>
      <w:r>
        <w:rPr>
          <w:rFonts w:ascii="Inter" w:hAnsi="Inter"/>
        </w:rPr>
        <w:t>client et compagnies ciblées ;</w:t>
      </w:r>
    </w:p>
    <w:p>
      <w:pPr>
        <w:pStyle w:val="ListBullet"/>
        <w:spacing w:after="50"/>
        <w:ind w:left="312" w:hanging="102"/>
      </w:pPr>
      <w:r>
        <w:rPr>
          <w:rFonts w:ascii="Inter" w:hAnsi="Inter"/>
        </w:rPr>
        <w:t>périmètre de la procuration ;</w:t>
      </w:r>
    </w:p>
    <w:p>
      <w:pPr>
        <w:pStyle w:val="ListBullet"/>
        <w:spacing w:after="50"/>
        <w:ind w:left="312" w:hanging="102"/>
      </w:pPr>
      <w:r>
        <w:rPr>
          <w:rFonts w:ascii="Inter" w:hAnsi="Inter"/>
        </w:rPr>
        <w:t>demandes générées et références uniques ;</w:t>
      </w:r>
    </w:p>
    <w:p>
      <w:pPr>
        <w:pStyle w:val="ListBullet"/>
        <w:spacing w:after="50"/>
        <w:ind w:left="312" w:hanging="102"/>
      </w:pPr>
      <w:r>
        <w:rPr>
          <w:rFonts w:ascii="Inter" w:hAnsi="Inter"/>
        </w:rPr>
        <w:t>emails envoyés, threads et relances ;</w:t>
      </w:r>
    </w:p>
    <w:p>
      <w:pPr>
        <w:pStyle w:val="ListBullet"/>
        <w:spacing w:after="50"/>
        <w:ind w:left="312" w:hanging="102"/>
      </w:pPr>
      <w:r>
        <w:rPr>
          <w:rFonts w:ascii="Inter" w:hAnsi="Inter"/>
        </w:rPr>
        <w:t>réponses, pièces jointes et documents ;</w:t>
      </w:r>
    </w:p>
    <w:p>
      <w:pPr>
        <w:pStyle w:val="ListBullet"/>
        <w:spacing w:after="50"/>
        <w:ind w:left="312" w:hanging="102"/>
      </w:pPr>
      <w:r>
        <w:rPr>
          <w:rFonts w:ascii="Inter" w:hAnsi="Inter"/>
        </w:rPr>
        <w:t>contrats identifiés ;</w:t>
      </w:r>
    </w:p>
    <w:p>
      <w:pPr>
        <w:pStyle w:val="ListBullet"/>
        <w:spacing w:after="50"/>
        <w:ind w:left="312" w:hanging="102"/>
      </w:pPr>
      <w:r>
        <w:rPr>
          <w:rFonts w:ascii="Inter" w:hAnsi="Inter"/>
        </w:rPr>
        <w:t>extractions, anomalies et validations ;</w:t>
      </w:r>
    </w:p>
    <w:p>
      <w:pPr>
        <w:pStyle w:val="ListBullet"/>
        <w:spacing w:after="50"/>
        <w:ind w:left="312" w:hanging="102"/>
      </w:pPr>
      <w:r>
        <w:rPr>
          <w:rFonts w:ascii="Inter" w:hAnsi="Inter"/>
        </w:rPr>
        <w:t>statut global et statut par compagnie.</w:t>
      </w:r>
    </w:p>
    <w:p>
      <w:pPr>
        <w:pStyle w:val="Heading1"/>
        <w:keepNext/>
      </w:pPr>
      <w:r>
        <w:rPr>
          <w:rFonts w:ascii="Inter" w:hAnsi="Inter"/>
        </w:rPr>
        <w:t>38. Email entrant et Document Intelligence</w:t>
      </w:r>
    </w:p>
    <w:p>
      <w:pPr/>
      <w:r>
        <w:t>La messagerie Google connectée sert à la fois de canal documentaire et de flux d’activité CRM. Chaque demande sortante porte une référence suffisamment robuste pour que la réponse soit rattachée automatiquement. Les échanges utiles avec un prospect, un client, un partenaire ou une compagnie alimentent la timeline commune. Le système combine plusieurs signaux plutôt qu’un seul.</w:t>
      </w:r>
    </w:p>
    <w:p>
      <w:pPr>
        <w:pStyle w:val="ListBullet"/>
        <w:spacing w:after="50"/>
        <w:ind w:left="312" w:hanging="102"/>
      </w:pPr>
      <w:r>
        <w:rPr>
          <w:rFonts w:ascii="Inter" w:hAnsi="Inter"/>
        </w:rPr>
        <w:t>adresse expéditrice et domaine de la compagnie ;</w:t>
      </w:r>
    </w:p>
    <w:p>
      <w:pPr>
        <w:pStyle w:val="ListBullet"/>
        <w:spacing w:after="50"/>
        <w:ind w:left="312" w:hanging="102"/>
      </w:pPr>
      <w:r>
        <w:rPr>
          <w:rFonts w:ascii="Inter" w:hAnsi="Inter"/>
        </w:rPr>
        <w:t>threadId et message précédent ;</w:t>
      </w:r>
    </w:p>
    <w:p>
      <w:pPr>
        <w:pStyle w:val="ListBullet"/>
        <w:spacing w:after="50"/>
        <w:ind w:left="312" w:hanging="102"/>
      </w:pPr>
      <w:r>
        <w:rPr>
          <w:rFonts w:ascii="Inter" w:hAnsi="Inter"/>
        </w:rPr>
        <w:t>requestId ou référence dans l’objet ;</w:t>
      </w:r>
    </w:p>
    <w:p>
      <w:pPr>
        <w:pStyle w:val="ListBullet"/>
        <w:spacing w:after="50"/>
        <w:ind w:left="312" w:hanging="102"/>
      </w:pPr>
      <w:r>
        <w:rPr>
          <w:rFonts w:ascii="Inter" w:hAnsi="Inter"/>
        </w:rPr>
        <w:t>nom du client et numéro de police ;</w:t>
      </w:r>
    </w:p>
    <w:p>
      <w:pPr>
        <w:pStyle w:val="ListBullet"/>
        <w:spacing w:after="50"/>
        <w:ind w:left="312" w:hanging="102"/>
      </w:pPr>
      <w:r>
        <w:rPr>
          <w:rFonts w:ascii="Inter" w:hAnsi="Inter"/>
        </w:rPr>
        <w:t>contenu du message ;</w:t>
      </w:r>
    </w:p>
    <w:p>
      <w:pPr>
        <w:pStyle w:val="ListBullet"/>
        <w:spacing w:after="50"/>
        <w:ind w:left="312" w:hanging="102"/>
      </w:pPr>
      <w:r>
        <w:rPr>
          <w:rFonts w:ascii="Inter" w:hAnsi="Inter"/>
        </w:rPr>
        <w:t>texte et métadonnées des pièces jointes.</w:t>
      </w:r>
    </w:p>
    <w:p>
      <w:pPr>
        <w:pStyle w:val="Heading2"/>
        <w:keepNext/>
      </w:pPr>
      <w:r>
        <w:rPr>
          <w:rFonts w:ascii="Inter" w:hAnsi="Inter"/>
        </w:rPr>
        <w:t>38.1 Classification documentaire</w:t>
      </w:r>
    </w:p>
    <w:p>
      <w:pPr>
        <w:pStyle w:val="ListBullet"/>
        <w:spacing w:after="50"/>
        <w:ind w:left="312" w:hanging="102"/>
      </w:pPr>
      <w:r>
        <w:rPr>
          <w:rFonts w:ascii="Inter" w:hAnsi="Inter"/>
        </w:rPr>
        <w:t>police, proposition, avenant, conditions générales ;</w:t>
      </w:r>
    </w:p>
    <w:p>
      <w:pPr>
        <w:pStyle w:val="ListBullet"/>
        <w:spacing w:after="50"/>
        <w:ind w:left="312" w:hanging="102"/>
      </w:pPr>
      <w:r>
        <w:rPr>
          <w:rFonts w:ascii="Inter" w:hAnsi="Inter"/>
        </w:rPr>
        <w:t>relevé, certificat, valeur de rachat ;</w:t>
      </w:r>
    </w:p>
    <w:p>
      <w:pPr>
        <w:pStyle w:val="ListBullet"/>
        <w:spacing w:after="50"/>
        <w:ind w:left="312" w:hanging="102"/>
      </w:pPr>
      <w:r>
        <w:rPr>
          <w:rFonts w:ascii="Inter" w:hAnsi="Inter"/>
        </w:rPr>
        <w:t>factsheet, rapport, facture ou correspondance.</w:t>
      </w:r>
    </w:p>
    <w:p>
      <w:pPr>
        <w:pStyle w:val="Heading2"/>
        <w:keepNext/>
      </w:pPr>
      <w:r>
        <w:rPr>
          <w:rFonts w:ascii="Inter" w:hAnsi="Inter"/>
        </w:rPr>
        <w:t>38.2 Extraction structurée</w:t>
      </w:r>
    </w:p>
    <w:p>
      <w:pPr>
        <w:pStyle w:val="ListBullet"/>
        <w:spacing w:after="50"/>
        <w:ind w:left="312" w:hanging="102"/>
      </w:pPr>
      <w:r>
        <w:rPr>
          <w:rFonts w:ascii="Inter" w:hAnsi="Inter"/>
        </w:rPr>
        <w:t>compagnie, produit et numéro de police ;</w:t>
      </w:r>
    </w:p>
    <w:p>
      <w:pPr>
        <w:pStyle w:val="ListBullet"/>
        <w:spacing w:after="50"/>
        <w:ind w:left="312" w:hanging="102"/>
      </w:pPr>
      <w:r>
        <w:rPr>
          <w:rFonts w:ascii="Inter" w:hAnsi="Inter"/>
        </w:rPr>
        <w:t>titulaire, assuré et bénéficiaires ;</w:t>
      </w:r>
    </w:p>
    <w:p>
      <w:pPr>
        <w:pStyle w:val="ListBullet"/>
        <w:spacing w:after="50"/>
        <w:ind w:left="312" w:hanging="102"/>
      </w:pPr>
      <w:r>
        <w:rPr>
          <w:rFonts w:ascii="Inter" w:hAnsi="Inter"/>
        </w:rPr>
        <w:t>début, échéance et dates importantes ;</w:t>
      </w:r>
    </w:p>
    <w:p>
      <w:pPr>
        <w:pStyle w:val="ListBullet"/>
        <w:spacing w:after="50"/>
        <w:ind w:left="312" w:hanging="102"/>
      </w:pPr>
      <w:r>
        <w:rPr>
          <w:rFonts w:ascii="Inter" w:hAnsi="Inter"/>
        </w:rPr>
        <w:t>prime, périodicité, valeurs et prestations ;</w:t>
      </w:r>
    </w:p>
    <w:p>
      <w:pPr>
        <w:pStyle w:val="ListBullet"/>
        <w:spacing w:after="50"/>
        <w:ind w:left="312" w:hanging="102"/>
      </w:pPr>
      <w:r>
        <w:rPr>
          <w:rFonts w:ascii="Inter" w:hAnsi="Inter"/>
        </w:rPr>
        <w:t>fonds, allocation, frais et garanties ;</w:t>
      </w:r>
    </w:p>
    <w:p>
      <w:pPr>
        <w:pStyle w:val="ListBullet"/>
        <w:spacing w:after="50"/>
        <w:ind w:left="312" w:hanging="102"/>
      </w:pPr>
      <w:r>
        <w:rPr>
          <w:rFonts w:ascii="Inter" w:hAnsi="Inter"/>
        </w:rPr>
        <w:t>capital décès, libération des primes et conditions principales.</w:t>
      </w:r>
    </w:p>
    <w:p>
      <w:pPr>
        <w:pStyle w:val="Heading2"/>
      </w:pPr>
      <w:r>
        <w:t>38.3 Messagerie CRM, tâches et périmètre de synchronisation</w:t>
      </w:r>
    </w:p>
    <w:p>
      <w:pPr/>
      <w:r>
        <w:t>Un email entrant ou sortant peut être relié à un lead, un client, une opportunité, un dossier, une tâche, un contrat ou un partenaire. Son rattachement doit être automatique lorsque la confiance est suffisante, et proposé à la validation dans les autres cas.</w:t>
      </w:r>
    </w:p>
    <w:p>
      <w:pPr>
        <w:pStyle w:val="ListBullet"/>
        <w:spacing w:after="50"/>
        <w:ind w:left="312" w:hanging="102"/>
      </w:pPr>
      <w:r>
        <w:rPr>
          <w:rFonts w:ascii="Inter" w:hAnsi="Inter"/>
        </w:rPr>
        <w:t>une réponse peut clôturer la tâche « attendre le document » et créer automatiquement l’étape suivante ;</w:t>
      </w:r>
    </w:p>
    <w:p>
      <w:pPr>
        <w:pStyle w:val="ListBullet"/>
        <w:spacing w:after="50"/>
        <w:ind w:left="312" w:hanging="102"/>
      </w:pPr>
      <w:r>
        <w:rPr>
          <w:rFonts w:ascii="Inter" w:hAnsi="Inter"/>
        </w:rPr>
        <w:t>une pièce jointe peut déclencher classification, extraction, rapprochement produit et audit ;</w:t>
      </w:r>
    </w:p>
    <w:p>
      <w:pPr>
        <w:pStyle w:val="ListBullet"/>
        <w:spacing w:after="50"/>
        <w:ind w:left="312" w:hanging="102"/>
      </w:pPr>
      <w:r>
        <w:rPr>
          <w:rFonts w:ascii="Inter" w:hAnsi="Inter"/>
        </w:rPr>
        <w:t>un message sans rattachement fiable rejoint une file de rapprochement dans Admin ;</w:t>
      </w:r>
    </w:p>
    <w:p>
      <w:pPr>
        <w:pStyle w:val="ListBullet"/>
        <w:spacing w:after="50"/>
        <w:ind w:left="312" w:hanging="102"/>
      </w:pPr>
      <w:r>
        <w:rPr>
          <w:rFonts w:ascii="Inter" w:hAnsi="Inter"/>
        </w:rPr>
        <w:t>les modèles d’email, demandes et relances peuvent être envoyés directement depuis le dossier ;</w:t>
      </w:r>
    </w:p>
    <w:p>
      <w:pPr>
        <w:pStyle w:val="ListBullet"/>
        <w:spacing w:after="50"/>
        <w:ind w:left="312" w:hanging="102"/>
      </w:pPr>
      <w:r>
        <w:rPr>
          <w:rFonts w:ascii="Inter" w:hAnsi="Inter"/>
        </w:rPr>
        <w:t>la synchronisation Gmail doit être limitée à des comptes, alias, labels ou règles explicitement sélectionnés afin de ne pas importer des messages sans rapport avec CoverView ;</w:t>
      </w:r>
    </w:p>
    <w:p>
      <w:pPr>
        <w:pStyle w:val="ListBullet"/>
        <w:spacing w:after="50"/>
        <w:ind w:left="312" w:hanging="102"/>
      </w:pPr>
      <w:r>
        <w:rPr>
          <w:rFonts w:ascii="Inter" w:hAnsi="Inter"/>
        </w:rPr>
        <w:t>chaque lecture, envoi, rattachement automatique ou correction importante reste traçable.</w:t>
      </w:r>
    </w:p>
    <w:p>
      <w:pPr>
        <w:pStyle w:val="Heading2"/>
      </w:pPr>
      <w:r>
        <w:t>38.4 Ingestion depuis le chat IA</w:t>
      </w:r>
    </w:p>
    <w:p>
      <w:pPr/>
      <w:r>
        <w:t>Une pièce jointe déposée dans un chat global ou contextuel suit le même pipeline documentaire qu’un upload classique ou qu’une pièce reçue par email. Le contexte du chat fournit un signal de rattachement supplémentaire, mais ne remplace pas les contrôles de correspondance, de déduplication et de confiance.</w:t>
      </w:r>
    </w:p>
    <w:p>
      <w:pPr>
        <w:pStyle w:val="ListBullet"/>
      </w:pPr>
      <w:r>
        <w:t>le fichier original est conservé comme preuve et relié à la conversation, à l’utilisateur et au contexte courant ;</w:t>
      </w:r>
    </w:p>
    <w:p>
      <w:pPr>
        <w:pStyle w:val="ListBullet"/>
      </w:pPr>
      <w:r>
        <w:t>antivirus, classification, OCR, extraction et matching produit sont lancés selon le type de document ;</w:t>
      </w:r>
    </w:p>
    <w:p>
      <w:pPr>
        <w:pStyle w:val="ListBullet"/>
      </w:pPr>
      <w:r>
        <w:t>le système propose les objets à créer ou mettre à jour : contrat, produit, tâche, client, dossier, sinistre, note, échéance ou document attendu ;</w:t>
      </w:r>
    </w:p>
    <w:p>
      <w:pPr>
        <w:pStyle w:val="ListBullet"/>
      </w:pPr>
      <w:r>
        <w:t>les valeurs extraites sont présentées avec leur source, leur confiance et les éventuels conflits avec les données existantes ;</w:t>
      </w:r>
    </w:p>
    <w:p>
      <w:pPr>
        <w:pStyle w:val="ListBullet"/>
      </w:pPr>
      <w:r>
        <w:t>si le schéma du produit ou du document est déjà connu, davantage de métadonnées peuvent être matérialisées automatiquement ; sinon, un objet incomplet et une tâche de revue peuvent être créés ;</w:t>
      </w:r>
    </w:p>
    <w:p>
      <w:pPr>
        <w:pStyle w:val="ListBullet"/>
      </w:pPr>
      <w:r>
        <w:t>aucune interprétation incertaine ne remplace silencieusement une donnée vérifiée.</w:t>
      </w:r>
    </w:p>
    <w:p>
      <w:pPr>
        <w:pStyle w:val="Heading1"/>
        <w:keepNext/>
      </w:pPr>
      <w:r>
        <w:rPr>
          <w:rFonts w:ascii="Inter" w:hAnsi="Inter"/>
        </w:rPr>
        <w:t>39. Audit automatique des contrats</w:t>
      </w:r>
    </w:p>
    <w:p>
      <w:pPr/>
      <w:r>
        <w:rPr>
          <w:rFonts w:ascii="Inter" w:hAnsi="Inter"/>
          <w:i w:val="0"/>
        </w:rPr>
        <w:t>Dès qu’un contrat possède un niveau de complétude suffisant, un événement déclenche les moteurs d’analyse. Le système tente de le relier au produit canonique, récupère les données d’Intelligence et calcule ce qui est déjà possible.</w:t>
      </w:r>
    </w:p>
    <w:p>
      <w:pPr>
        <w:pStyle w:val="ListBullet"/>
        <w:spacing w:after="50"/>
        <w:ind w:left="312" w:hanging="102"/>
      </w:pPr>
      <w:r>
        <w:rPr>
          <w:rFonts w:ascii="Inter" w:hAnsi="Inter"/>
        </w:rPr>
        <w:t>score global et sous-scores ;</w:t>
      </w:r>
    </w:p>
    <w:p>
      <w:pPr>
        <w:pStyle w:val="ListBullet"/>
        <w:spacing w:after="50"/>
        <w:ind w:left="312" w:hanging="102"/>
      </w:pPr>
      <w:r>
        <w:rPr>
          <w:rFonts w:ascii="Inter" w:hAnsi="Inter"/>
        </w:rPr>
        <w:t>positionnement des frais ;</w:t>
      </w:r>
    </w:p>
    <w:p>
      <w:pPr>
        <w:pStyle w:val="ListBullet"/>
        <w:spacing w:after="50"/>
        <w:ind w:left="312" w:hanging="102"/>
      </w:pPr>
      <w:r>
        <w:rPr>
          <w:rFonts w:ascii="Inter" w:hAnsi="Inter"/>
        </w:rPr>
        <w:t>performance et benchmark ;</w:t>
      </w:r>
    </w:p>
    <w:p>
      <w:pPr>
        <w:pStyle w:val="ListBullet"/>
        <w:spacing w:after="50"/>
        <w:ind w:left="312" w:hanging="102"/>
      </w:pPr>
      <w:r>
        <w:rPr>
          <w:rFonts w:ascii="Inter" w:hAnsi="Inter"/>
        </w:rPr>
        <w:t>risque, diversification et concentration ;</w:t>
      </w:r>
    </w:p>
    <w:p>
      <w:pPr>
        <w:pStyle w:val="ListBullet"/>
        <w:spacing w:after="50"/>
        <w:ind w:left="312" w:hanging="102"/>
      </w:pPr>
      <w:r>
        <w:rPr>
          <w:rFonts w:ascii="Inter" w:hAnsi="Inter"/>
        </w:rPr>
        <w:t>univers d’investissement et flexibilité ;</w:t>
      </w:r>
    </w:p>
    <w:p>
      <w:pPr>
        <w:pStyle w:val="ListBullet"/>
        <w:spacing w:after="50"/>
        <w:ind w:left="312" w:hanging="102"/>
      </w:pPr>
      <w:r>
        <w:rPr>
          <w:rFonts w:ascii="Inter" w:hAnsi="Inter"/>
        </w:rPr>
        <w:t>garanties et protections ;</w:t>
      </w:r>
    </w:p>
    <w:p>
      <w:pPr>
        <w:pStyle w:val="ListBullet"/>
        <w:spacing w:after="50"/>
        <w:ind w:left="312" w:hanging="102"/>
      </w:pPr>
      <w:r>
        <w:rPr>
          <w:rFonts w:ascii="Inter" w:hAnsi="Inter"/>
        </w:rPr>
        <w:t>Strategy Freshness ;</w:t>
      </w:r>
    </w:p>
    <w:p>
      <w:pPr>
        <w:pStyle w:val="ListBullet"/>
        <w:spacing w:after="50"/>
        <w:ind w:left="312" w:hanging="102"/>
      </w:pPr>
      <w:r>
        <w:rPr>
          <w:rFonts w:ascii="Inter" w:hAnsi="Inter"/>
        </w:rPr>
        <w:t>alertes et éléments nécessitant une validation.</w:t>
      </w:r>
    </w:p>
    <w:tbl>
      <w:tblPr>
        <w:tblW w:type="auto" w:w="0"/>
        <w:jc w:val="center"/>
        <w:tblLayout w:type="autofit"/>
        <w:tblLook w:firstColumn="1" w:firstRow="1" w:lastColumn="0" w:lastRow="0" w:noHBand="0" w:noVBand="1" w:val="04A0"/>
      </w:tblPr>
      <w:tblGrid>
        <w:gridCol w:w="9978"/>
      </w:tblGrid>
      <w:tr>
        <w:tc>
          <w:tcPr>
            <w:tcW w:type="dxa" w:w="9978"/>
            <w:shd w:fill="DDF5EA" w:val="clear"/>
            <w:tcBorders>
              <w:top w:sz="8" w:val="single" w:color="4A9D78"/>
              <w:left w:sz="16" w:val="single" w:color="4A9D78"/>
              <w:bottom w:sz="8" w:val="single" w:color="4A9D78"/>
              <w:right w:sz="8" w:val="single" w:color="4A9D78"/>
            </w:tcBorders>
            <w:tcMar>
              <w:top w:w="130" w:type="dxa"/>
              <w:start w:w="170" w:type="dxa"/>
              <w:bottom w:w="130" w:type="dxa"/>
              <w:end w:w="150" w:type="dxa"/>
            </w:tcMar>
          </w:tcPr>
          <w:p>
            <w:pPr>
              <w:spacing w:after="40"/>
            </w:pPr>
            <w:r>
              <w:rPr>
                <w:rFonts w:ascii="Inter" w:hAnsi="Inter"/>
                <w:b/>
                <w:color w:val="25265E"/>
                <w:sz w:val="19"/>
              </w:rPr>
              <w:t>Pipeline fondamental</w:t>
            </w:r>
          </w:p>
          <w:p>
            <w:pPr>
              <w:spacing w:after="0"/>
            </w:pPr>
            <w:r>
              <w:rPr>
                <w:rFonts w:ascii="Inter" w:hAnsi="Inter"/>
                <w:color w:val="1A1D2B"/>
                <w:sz w:val="18"/>
              </w:rPr>
              <w:t>Découverte -&gt; Récupération -&gt; Digitalisation -&gt; Structuration -&gt; Audit -&gt; Benchmark -&gt; Recommandation -&gt; Suivi</w:t>
            </w:r>
          </w:p>
        </w:tc>
      </w:tr>
    </w:tbl>
    <w:p>
      <w:pPr>
        <w:spacing w:after="0"/>
      </w:pPr>
    </w:p>
    <w:p>
      <w:pPr>
        <w:pStyle w:val="Heading1"/>
        <w:keepNext/>
      </w:pPr>
      <w:r>
        <w:rPr>
          <w:rFonts w:ascii="Inter" w:hAnsi="Inter"/>
        </w:rPr>
        <w:t>40. Human-in-the-loop, preuve et notification</w:t>
      </w:r>
    </w:p>
    <w:p>
      <w:pPr/>
      <w:r>
        <w:t>L’automatisation doit viser les cas standards ; Admin concentre les exceptions. Une extraction à faible confiance, un document non rattaché, une incohérence ou une synchronisation échouée ne doit pas être masqué : cela devient une tâche explicite dans le gestionnaire de travail, avec propriétaire, priorité et échéance.</w:t>
      </w:r>
    </w:p>
    <w:p>
      <w:pPr>
        <w:pStyle w:val="ListBullet"/>
        <w:spacing w:after="50"/>
        <w:ind w:left="312" w:hanging="102"/>
      </w:pPr>
      <w:r>
        <w:rPr>
          <w:rFonts w:ascii="Inter" w:hAnsi="Inter"/>
        </w:rPr>
        <w:t>file d’éléments à vérifier ;</w:t>
      </w:r>
    </w:p>
    <w:p>
      <w:pPr>
        <w:pStyle w:val="ListBullet"/>
        <w:spacing w:after="50"/>
        <w:ind w:left="312" w:hanging="102"/>
      </w:pPr>
      <w:r>
        <w:rPr>
          <w:rFonts w:ascii="Inter" w:hAnsi="Inter"/>
        </w:rPr>
        <w:t>règles de priorité selon l’impact ;</w:t>
      </w:r>
    </w:p>
    <w:p>
      <w:pPr>
        <w:pStyle w:val="ListBullet"/>
        <w:spacing w:after="50"/>
        <w:ind w:left="312" w:hanging="102"/>
      </w:pPr>
      <w:r>
        <w:rPr>
          <w:rFonts w:ascii="Inter" w:hAnsi="Inter"/>
        </w:rPr>
        <w:t>comparaison entre donnée source et donnée extraite ;</w:t>
      </w:r>
    </w:p>
    <w:p>
      <w:pPr>
        <w:pStyle w:val="ListBullet"/>
        <w:spacing w:after="50"/>
        <w:ind w:left="312" w:hanging="102"/>
      </w:pPr>
      <w:r>
        <w:rPr>
          <w:rFonts w:ascii="Inter" w:hAnsi="Inter"/>
        </w:rPr>
        <w:t>validation en un clic ou correction ;</w:t>
      </w:r>
    </w:p>
    <w:p>
      <w:pPr>
        <w:pStyle w:val="ListBullet"/>
        <w:spacing w:after="50"/>
        <w:ind w:left="312" w:hanging="102"/>
      </w:pPr>
      <w:r>
        <w:rPr>
          <w:rFonts w:ascii="Inter" w:hAnsi="Inter"/>
        </w:rPr>
        <w:t>historique avant/après ;</w:t>
      </w:r>
    </w:p>
    <w:p>
      <w:pPr>
        <w:pStyle w:val="ListBullet"/>
        <w:spacing w:after="50"/>
        <w:ind w:left="312" w:hanging="102"/>
      </w:pPr>
      <w:r>
        <w:rPr>
          <w:rFonts w:ascii="Inter" w:hAnsi="Inter"/>
        </w:rPr>
        <w:t>notification client lorsque le statut change ou qu’une action est requise.</w:t>
      </w:r>
    </w:p>
    <w:p>
      <w:pPr>
        <w:pStyle w:val="Heading2"/>
        <w:keepNext/>
      </w:pPr>
      <w:r>
        <w:rPr>
          <w:rFonts w:ascii="Inter" w:hAnsi="Inter"/>
        </w:rPr>
        <w:t>40.1 Audit trail</w:t>
      </w:r>
    </w:p>
    <w:p>
      <w:pPr/>
      <w:r>
        <w:rPr>
          <w:rFonts w:ascii="Inter" w:hAnsi="Inter"/>
          <w:i w:val="0"/>
        </w:rPr>
        <w:t>Toute action sensible doit laisser une trace : utilisateur, application, date, objet, ancienne valeur, nouvelle valeur, raison, source et version. Cela concerne notamment les documents signés, les accès aux pièces d’identité, les changements de produit, les recommandations, les emails envoyés et les résultats d’analyse.</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VI</w:t>
            </w:r>
          </w:p>
          <w:p>
            <w:pPr>
              <w:spacing w:after="0"/>
            </w:pPr>
            <w:r>
              <w:rPr>
                <w:rFonts w:ascii="Inter" w:hAnsi="Inter"/>
                <w:color w:val="E7E8FF"/>
                <w:sz w:val="20"/>
              </w:rPr>
              <w:t>Parcours 3P, retraite, analyse et gamification</w:t>
            </w:r>
          </w:p>
        </w:tc>
      </w:tr>
    </w:tbl>
    <w:p>
      <w:pPr>
        <w:spacing w:after="0"/>
      </w:pPr>
    </w:p>
    <w:p>
      <w:pPr>
        <w:pStyle w:val="Heading1"/>
        <w:keepNext/>
      </w:pPr>
      <w:r>
        <w:rPr>
          <w:rFonts w:ascii="Inter" w:hAnsi="Inter"/>
        </w:rPr>
        <w:t>41. Parcours complet</w:t>
      </w:r>
    </w:p>
    <w:p>
      <w:pPr>
        <w:spacing w:after="60"/>
        <w:jc w:val="center"/>
      </w:pPr>
      <w:r>
        <w:rPr>
          <w:rFonts w:ascii="Inter" w:hAnsi="Inter"/>
        </w:rPr>
        <w:drawing>
          <wp:inline xmlns:a="http://schemas.openxmlformats.org/drawingml/2006/main" xmlns:pic="http://schemas.openxmlformats.org/drawingml/2006/picture">
            <wp:extent cx="6263999" cy="227430"/>
            <wp:docPr id="4" name="Picture 4" descr="La vente vient après la compréhension, la projection et la comparaison." title="La vente vient après la compréhension, la projection et la comparaison."/>
            <wp:cNvGraphicFramePr>
              <a:graphicFrameLocks noChangeAspect="1"/>
            </wp:cNvGraphicFramePr>
            <a:graphic>
              <a:graphicData uri="http://schemas.openxmlformats.org/drawingml/2006/picture">
                <pic:pic>
                  <pic:nvPicPr>
                    <pic:cNvPr id="0" name="journey_3p.png"/>
                    <pic:cNvPicPr/>
                  </pic:nvPicPr>
                  <pic:blipFill>
                    <a:blip r:embed="rId14"/>
                    <a:stretch>
                      <a:fillRect/>
                    </a:stretch>
                  </pic:blipFill>
                  <pic:spPr>
                    <a:xfrm>
                      <a:off x="0" y="0"/>
                      <a:ext cx="6263999" cy="227430"/>
                    </a:xfrm>
                    <a:prstGeom prst="rect"/>
                  </pic:spPr>
                </pic:pic>
              </a:graphicData>
            </a:graphic>
          </wp:inline>
        </w:drawing>
      </w:r>
    </w:p>
    <w:p>
      <w:pPr>
        <w:pStyle w:val="CoverViewSmall"/>
        <w:jc w:val="center"/>
      </w:pPr>
      <w:r>
        <w:rPr>
          <w:rFonts w:ascii="Inter" w:hAnsi="Inter"/>
          <w:i/>
          <w:color w:val="5F667A"/>
          <w:sz w:val="16"/>
        </w:rPr>
        <w:t>La vente vient après la compréhension, la projection et la comparaison.</w:t>
      </w:r>
    </w:p>
    <w:p>
      <w:pPr>
        <w:spacing w:after="60"/>
        <w:ind w:left="312" w:hanging="238"/>
      </w:pPr>
      <w:r>
        <w:rPr>
          <w:rFonts w:ascii="Inter" w:hAnsi="Inter"/>
          <w:b/>
          <w:color w:val="6D4AFF"/>
        </w:rPr>
        <w:t xml:space="preserve">1. </w:t>
      </w:r>
      <w:r>
        <w:rPr>
          <w:rFonts w:ascii="Inter" w:hAnsi="Inter"/>
        </w:rPr>
        <w:t>Home : question sur le troisième pilier et l’âge de retraite.</w:t>
      </w:r>
    </w:p>
    <w:p>
      <w:pPr>
        <w:spacing w:after="60"/>
        <w:ind w:left="312" w:hanging="238"/>
      </w:pPr>
      <w:r>
        <w:rPr>
          <w:rFonts w:ascii="Inter" w:hAnsi="Inter"/>
          <w:b/>
          <w:color w:val="6D4AFF"/>
        </w:rPr>
        <w:t xml:space="preserve">2. </w:t>
      </w:r>
      <w:r>
        <w:rPr>
          <w:rFonts w:ascii="Inter" w:hAnsi="Inter"/>
        </w:rPr>
        <w:t>Upload du contrat ou identification manuelle.</w:t>
      </w:r>
    </w:p>
    <w:p>
      <w:pPr>
        <w:spacing w:after="60"/>
        <w:ind w:left="312" w:hanging="238"/>
      </w:pPr>
      <w:r>
        <w:rPr>
          <w:rFonts w:ascii="Inter" w:hAnsi="Inter"/>
          <w:b/>
          <w:color w:val="6D4AFF"/>
        </w:rPr>
        <w:t xml:space="preserve">3. </w:t>
      </w:r>
      <w:r>
        <w:rPr>
          <w:rFonts w:ascii="Inter" w:hAnsi="Inter"/>
        </w:rPr>
        <w:t>Prediction Game pendant le traitement.</w:t>
      </w:r>
    </w:p>
    <w:p>
      <w:pPr>
        <w:spacing w:after="60"/>
        <w:ind w:left="312" w:hanging="238"/>
      </w:pPr>
      <w:r>
        <w:rPr>
          <w:rFonts w:ascii="Inter" w:hAnsi="Inter"/>
          <w:b/>
          <w:color w:val="6D4AFF"/>
        </w:rPr>
        <w:t xml:space="preserve">4. </w:t>
      </w:r>
      <w:r>
        <w:rPr>
          <w:rFonts w:ascii="Inter" w:hAnsi="Inter"/>
        </w:rPr>
        <w:t>Reveal Stories avec profil, Investment Age et score.</w:t>
      </w:r>
    </w:p>
    <w:p>
      <w:pPr>
        <w:spacing w:after="60"/>
        <w:ind w:left="312" w:hanging="238"/>
      </w:pPr>
      <w:r>
        <w:rPr>
          <w:rFonts w:ascii="Inter" w:hAnsi="Inter"/>
          <w:b/>
          <w:color w:val="6D4AFF"/>
        </w:rPr>
        <w:t xml:space="preserve">5. </w:t>
      </w:r>
      <w:r>
        <w:rPr>
          <w:rFonts w:ascii="Inter" w:hAnsi="Inter"/>
        </w:rPr>
        <w:t>Analyse détaillée et forces/faiblesses.</w:t>
      </w:r>
    </w:p>
    <w:p>
      <w:pPr>
        <w:spacing w:after="60"/>
        <w:ind w:left="312" w:hanging="238"/>
      </w:pPr>
      <w:r>
        <w:rPr>
          <w:rFonts w:ascii="Inter" w:hAnsi="Inter"/>
          <w:b/>
          <w:color w:val="6D4AFF"/>
        </w:rPr>
        <w:t xml:space="preserve">6. </w:t>
      </w:r>
      <w:r>
        <w:rPr>
          <w:rFonts w:ascii="Inter" w:hAnsi="Inter"/>
        </w:rPr>
        <w:t>Retirement World représentant la trajectoire actuelle.</w:t>
      </w:r>
    </w:p>
    <w:p>
      <w:pPr>
        <w:spacing w:after="60"/>
        <w:ind w:left="312" w:hanging="238"/>
      </w:pPr>
      <w:r>
        <w:rPr>
          <w:rFonts w:ascii="Inter" w:hAnsi="Inter"/>
          <w:b/>
          <w:color w:val="6D4AFF"/>
        </w:rPr>
        <w:t xml:space="preserve">7. </w:t>
      </w:r>
      <w:r>
        <w:rPr>
          <w:rFonts w:ascii="Inter" w:hAnsi="Inter"/>
        </w:rPr>
        <w:t>Sliders de salaire, niveau de vie, cotisation, âge et inflation.</w:t>
      </w:r>
    </w:p>
    <w:p>
      <w:pPr>
        <w:spacing w:after="60"/>
        <w:ind w:left="312" w:hanging="238"/>
      </w:pPr>
      <w:r>
        <w:rPr>
          <w:rFonts w:ascii="Inter" w:hAnsi="Inter"/>
          <w:b/>
          <w:color w:val="6D4AFF"/>
        </w:rPr>
        <w:t xml:space="preserve">8. </w:t>
      </w:r>
      <w:r>
        <w:rPr>
          <w:rFonts w:ascii="Inter" w:hAnsi="Inter"/>
        </w:rPr>
        <w:t>Calcul du capital nécessaire en CHF réels et nominaux.</w:t>
      </w:r>
    </w:p>
    <w:p>
      <w:pPr>
        <w:spacing w:after="60"/>
        <w:ind w:left="312" w:hanging="238"/>
      </w:pPr>
      <w:r>
        <w:rPr>
          <w:rFonts w:ascii="Inter" w:hAnsi="Inter"/>
          <w:b/>
          <w:color w:val="6D4AFF"/>
        </w:rPr>
        <w:t xml:space="preserve">9. </w:t>
      </w:r>
      <w:r>
        <w:rPr>
          <w:rFonts w:ascii="Inter" w:hAnsi="Inter"/>
        </w:rPr>
        <w:t>Retirement Target Age et Goal Probability.</w:t>
      </w:r>
    </w:p>
    <w:p>
      <w:pPr>
        <w:spacing w:after="60"/>
        <w:ind w:left="312" w:hanging="238"/>
      </w:pPr>
      <w:r>
        <w:rPr>
          <w:rFonts w:ascii="Inter" w:hAnsi="Inter"/>
          <w:b/>
          <w:color w:val="6D4AFF"/>
        </w:rPr>
        <w:t xml:space="preserve">10. </w:t>
      </w:r>
      <w:r>
        <w:rPr>
          <w:rFonts w:ascii="Inter" w:hAnsi="Inter"/>
        </w:rPr>
        <w:t>Fan Chart, distribution et stress tests.</w:t>
      </w:r>
    </w:p>
    <w:p>
      <w:pPr>
        <w:spacing w:after="60"/>
        <w:ind w:left="312" w:hanging="238"/>
      </w:pPr>
      <w:r>
        <w:rPr>
          <w:rFonts w:ascii="Inter" w:hAnsi="Inter"/>
          <w:b/>
          <w:color w:val="6D4AFF"/>
        </w:rPr>
        <w:t xml:space="preserve">11. </w:t>
      </w:r>
      <w:r>
        <w:rPr>
          <w:rFonts w:ascii="Inter" w:hAnsi="Inter"/>
        </w:rPr>
        <w:t>Optimisation et nombre de stratégies compatibles.</w:t>
      </w:r>
    </w:p>
    <w:p>
      <w:pPr>
        <w:spacing w:after="60"/>
        <w:ind w:left="312" w:hanging="238"/>
      </w:pPr>
      <w:r>
        <w:rPr>
          <w:rFonts w:ascii="Inter" w:hAnsi="Inter"/>
          <w:b/>
          <w:color w:val="6D4AFF"/>
        </w:rPr>
        <w:t xml:space="preserve">12. </w:t>
      </w:r>
      <w:r>
        <w:rPr>
          <w:rFonts w:ascii="Inter" w:hAnsi="Inter"/>
        </w:rPr>
        <w:t>Strategy Finder et comparaison actuel/alternatives.</w:t>
      </w:r>
    </w:p>
    <w:p>
      <w:pPr>
        <w:spacing w:after="60"/>
        <w:ind w:left="312" w:hanging="238"/>
      </w:pPr>
      <w:r>
        <w:rPr>
          <w:rFonts w:ascii="Inter" w:hAnsi="Inter"/>
          <w:b/>
          <w:color w:val="6D4AFF"/>
        </w:rPr>
        <w:t xml:space="preserve">13. </w:t>
      </w:r>
      <w:r>
        <w:rPr>
          <w:rFonts w:ascii="Inter" w:hAnsi="Inter"/>
        </w:rPr>
        <w:t>Retirement World optimisé avant/après.</w:t>
      </w:r>
    </w:p>
    <w:p>
      <w:pPr>
        <w:spacing w:after="60"/>
        <w:ind w:left="312" w:hanging="238"/>
      </w:pPr>
      <w:r>
        <w:rPr>
          <w:rFonts w:ascii="Inter" w:hAnsi="Inter"/>
          <w:b/>
          <w:color w:val="6D4AFF"/>
        </w:rPr>
        <w:t xml:space="preserve">14. </w:t>
      </w:r>
      <w:r>
        <w:rPr>
          <w:rFonts w:ascii="Inter" w:hAnsi="Inter"/>
        </w:rPr>
        <w:t>Full Audit puis validation par un expert.</w:t>
      </w:r>
    </w:p>
    <w:p>
      <w:pPr>
        <w:spacing w:after="60"/>
        <w:ind w:left="312" w:hanging="238"/>
      </w:pPr>
      <w:r>
        <w:rPr>
          <w:rFonts w:ascii="Inter" w:hAnsi="Inter"/>
          <w:b/>
          <w:color w:val="6D4AFF"/>
        </w:rPr>
        <w:t xml:space="preserve">15. </w:t>
      </w:r>
      <w:r>
        <w:rPr>
          <w:rFonts w:ascii="Inter" w:hAnsi="Inter"/>
        </w:rPr>
        <w:t>Sauvegarde dans Wallet, monitoring, revue annuelle et adaptation.</w:t>
      </w:r>
    </w:p>
    <w:p>
      <w:pPr>
        <w:pStyle w:val="Heading1"/>
        <w:keepNext/>
      </w:pPr>
      <w:r>
        <w:rPr>
          <w:rFonts w:ascii="Inter" w:hAnsi="Inter"/>
        </w:rPr>
        <w:t>42. Pages publiques du parcours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94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Page</w:t>
            </w:r>
          </w:p>
        </w:tc>
        <w:tc>
          <w:tcPr>
            <w:tcW w:type="dxa" w:w="669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Rôle</w:t>
            </w:r>
          </w:p>
        </w:tc>
      </w:tr>
      <w:tr>
        <w:trPr>
          <w:cantSplit/>
        </w:trPr>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Home</w:t>
            </w:r>
          </w:p>
        </w:tc>
        <w:tc>
          <w:tcPr>
            <w:tcW w:type="dxa" w:w="669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Entrée par la question retraite</w:t>
            </w:r>
          </w:p>
        </w:tc>
      </w:tr>
      <w:tr>
        <w:trPr>
          <w:cantSplit/>
        </w:trPr>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Overview</w:t>
            </w:r>
          </w:p>
        </w:tc>
        <w:tc>
          <w:tcPr>
            <w:tcW w:type="dxa" w:w="669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Choisir analyser, calculer ou comparer</w:t>
            </w:r>
          </w:p>
        </w:tc>
      </w:tr>
      <w:tr>
        <w:trPr>
          <w:cantSplit/>
        </w:trPr>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Analyse de mon 3P</w:t>
            </w:r>
          </w:p>
        </w:tc>
        <w:tc>
          <w:tcPr>
            <w:tcW w:type="dxa" w:w="669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Upload, saisie manuelle, extraction et révélation</w:t>
            </w:r>
          </w:p>
        </w:tc>
      </w:tr>
      <w:tr>
        <w:trPr>
          <w:cantSplit/>
        </w:trPr>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Gap</w:t>
            </w:r>
          </w:p>
        </w:tc>
        <w:tc>
          <w:tcPr>
            <w:tcW w:type="dxa" w:w="669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Calculer le besoin et le capital cible</w:t>
            </w:r>
          </w:p>
        </w:tc>
      </w:tr>
      <w:tr>
        <w:trPr>
          <w:cantSplit/>
        </w:trPr>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Strategy Finder</w:t>
            </w:r>
          </w:p>
        </w:tc>
        <w:tc>
          <w:tcPr>
            <w:tcW w:type="dxa" w:w="669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Comparer les trajectoires et alternatives</w:t>
            </w:r>
          </w:p>
        </w:tc>
      </w:tr>
      <w:tr>
        <w:trPr>
          <w:cantSplit/>
        </w:trPr>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Méthodologie</w:t>
            </w:r>
          </w:p>
        </w:tc>
        <w:tc>
          <w:tcPr>
            <w:tcW w:type="dxa" w:w="669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Expliquer les moteurs et les limites</w:t>
            </w:r>
          </w:p>
        </w:tc>
      </w:tr>
      <w:tr>
        <w:trPr>
          <w:cantSplit/>
        </w:trPr>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Résultat public partageable</w:t>
            </w:r>
          </w:p>
        </w:tc>
        <w:tc>
          <w:tcPr>
            <w:tcW w:type="dxa" w:w="669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Diffuser uniquement les données autorisées</w:t>
            </w:r>
          </w:p>
        </w:tc>
      </w:tr>
      <w:tr>
        <w:trPr>
          <w:cantSplit/>
        </w:trPr>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Contact / Expert</w:t>
            </w:r>
          </w:p>
        </w:tc>
        <w:tc>
          <w:tcPr>
            <w:tcW w:type="dxa" w:w="669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Faire valider et convertir</w:t>
            </w:r>
          </w:p>
        </w:tc>
      </w:tr>
      <w:tr>
        <w:trPr>
          <w:cantSplit/>
        </w:trPr>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 Retire / Retirement Check</w:t>
            </w:r>
          </w:p>
        </w:tc>
        <w:tc>
          <w:tcPr>
            <w:tcW w:type="dxa" w:w="669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Combien pouvez-vous réellement dépenser ? Première valeur puis entrée Retraite de Wallet.</w:t>
            </w:r>
          </w:p>
        </w:tc>
      </w:tr>
    </w:tbl>
    <w:p>
      <w:pPr>
        <w:spacing w:after="0"/>
      </w:pPr>
    </w:p>
    <w:p>
      <w:pPr>
        <w:pStyle w:val="Heading1"/>
        <w:keepNext/>
      </w:pPr>
      <w:r>
        <w:rPr>
          <w:rFonts w:ascii="Inter" w:hAnsi="Inter"/>
        </w:rPr>
        <w:t>43. Analyse du contrat</w:t>
      </w:r>
    </w:p>
    <w:p>
      <w:pPr>
        <w:pStyle w:val="Heading2"/>
        <w:keepNext/>
      </w:pPr>
      <w:r>
        <w:rPr>
          <w:rFonts w:ascii="Inter" w:hAnsi="Inter"/>
        </w:rPr>
        <w:t>43.1 Upload</w:t>
      </w:r>
    </w:p>
    <w:p>
      <w:pPr>
        <w:pStyle w:val="ListBullet"/>
        <w:spacing w:after="50"/>
        <w:ind w:left="312" w:hanging="102"/>
      </w:pPr>
      <w:r>
        <w:rPr>
          <w:rFonts w:ascii="Inter" w:hAnsi="Inter"/>
        </w:rPr>
        <w:t>PDF ;</w:t>
      </w:r>
    </w:p>
    <w:p>
      <w:pPr>
        <w:pStyle w:val="ListBullet"/>
        <w:spacing w:after="50"/>
        <w:ind w:left="312" w:hanging="102"/>
      </w:pPr>
      <w:r>
        <w:rPr>
          <w:rFonts w:ascii="Inter" w:hAnsi="Inter"/>
        </w:rPr>
        <w:t>scan ;</w:t>
      </w:r>
    </w:p>
    <w:p>
      <w:pPr>
        <w:pStyle w:val="ListBullet"/>
        <w:spacing w:after="50"/>
        <w:ind w:left="312" w:hanging="102"/>
      </w:pPr>
      <w:r>
        <w:rPr>
          <w:rFonts w:ascii="Inter" w:hAnsi="Inter"/>
        </w:rPr>
        <w:t>photo.</w:t>
      </w:r>
    </w:p>
    <w:p>
      <w:pPr/>
      <w:r>
        <w:rPr>
          <w:rFonts w:ascii="Inter" w:hAnsi="Inter"/>
          <w:i w:val="0"/>
        </w:rPr>
        <w:t>Le système extrait compagnie, produit, dates, prime, périodicité, allocation, fonds, frais, garanties, valeur de rachat, capital décès, libération des primes et conditions principales.</w:t>
      </w:r>
    </w:p>
    <w:p>
      <w:pPr>
        <w:pStyle w:val="Heading2"/>
        <w:keepNext/>
      </w:pPr>
      <w:r>
        <w:rPr>
          <w:rFonts w:ascii="Inter" w:hAnsi="Inter"/>
        </w:rPr>
        <w:t>43.2 Sans document</w:t>
      </w:r>
    </w:p>
    <w:p>
      <w:pPr/>
      <w:r>
        <w:rPr>
          <w:rFonts w:ascii="Inter" w:hAnsi="Inter"/>
          <w:i w:val="0"/>
        </w:rPr>
        <w:t>Parcours manuel minimal : Compagnie -&gt; Produit -&gt; Année -&gt; Prime. Le système affiche une précision actuelle, par exemple 62 %, et propose « Importer ma police pour améliorer l’analyse ».</w:t>
      </w:r>
    </w:p>
    <w:p>
      <w:pPr>
        <w:pStyle w:val="Heading2"/>
        <w:keepNext/>
      </w:pPr>
      <w:r>
        <w:rPr>
          <w:rFonts w:ascii="Inter" w:hAnsi="Inter"/>
        </w:rPr>
        <w:t>43.3 Friction minimale</w:t>
      </w:r>
    </w:p>
    <w:p>
      <w:pPr/>
      <w:r>
        <w:rPr>
          <w:rFonts w:ascii="Inter" w:hAnsi="Inter"/>
          <w:i w:val="0"/>
        </w:rPr>
        <w:t>Ne pas imposer immédiatement un compte, un téléphone ou un long formulaire. Une première valeur doit être visible. L’identification intervient lorsque l’utilisateur souhaite sauvegarder, recevoir l’audit complet, signer ou être recontacté.</w:t>
      </w:r>
    </w:p>
    <w:p>
      <w:pPr>
        <w:pStyle w:val="Heading1"/>
        <w:keepNext/>
      </w:pPr>
      <w:r>
        <w:rPr>
          <w:rFonts w:ascii="Inter" w:hAnsi="Inter"/>
        </w:rPr>
        <w:t>44. Analyse en cours et Prediction Game</w:t>
      </w:r>
    </w:p>
    <w:p>
      <w:pPr/>
      <w:r>
        <w:rPr>
          <w:rFonts w:ascii="Inter" w:hAnsi="Inter"/>
          <w:i w:val="0"/>
        </w:rPr>
        <w:t>La latence de traitement devient une séquence narrative :</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Lecture du contrat ✓</w:t>
            </w:r>
            <w:r>
              <w:br/>
            </w:r>
            <w:r>
              <w:rPr>
                <w:rFonts w:ascii="DejaVu Sans Mono" w:hAnsi="DejaVu Sans Mono"/>
                <w:color w:val="1A1D2B"/>
                <w:sz w:val="16"/>
              </w:rPr>
              <w:t>Identification des fonds ✓</w:t>
            </w:r>
            <w:r>
              <w:br/>
            </w:r>
            <w:r>
              <w:rPr>
                <w:rFonts w:ascii="DejaVu Sans Mono" w:hAnsi="DejaVu Sans Mono"/>
                <w:color w:val="1A1D2B"/>
                <w:sz w:val="16"/>
              </w:rPr>
              <w:t>Analyse des frais ✓</w:t>
            </w:r>
            <w:r>
              <w:br/>
            </w:r>
            <w:r>
              <w:rPr>
                <w:rFonts w:ascii="DejaVu Sans Mono" w:hAnsi="DejaVu Sans Mono"/>
                <w:color w:val="1A1D2B"/>
                <w:sz w:val="16"/>
              </w:rPr>
              <w:t>Analyse de l’allocation ✓</w:t>
            </w:r>
            <w:r>
              <w:br/>
            </w:r>
            <w:r>
              <w:rPr>
                <w:rFonts w:ascii="DejaVu Sans Mono" w:hAnsi="DejaVu Sans Mono"/>
                <w:color w:val="1A1D2B"/>
                <w:sz w:val="16"/>
              </w:rPr>
              <w:t>Analyse des protections ✓</w:t>
            </w:r>
            <w:r>
              <w:br/>
            </w:r>
            <w:r>
              <w:rPr>
                <w:rFonts w:ascii="DejaVu Sans Mono" w:hAnsi="DejaVu Sans Mono"/>
                <w:color w:val="1A1D2B"/>
                <w:sz w:val="16"/>
              </w:rPr>
              <w:t>Projection retraite…</w:t>
            </w:r>
          </w:p>
        </w:tc>
      </w:tr>
    </w:tbl>
    <w:p>
      <w:pPr>
        <w:spacing w:after="0"/>
      </w:pPr>
    </w:p>
    <w:p>
      <w:pPr>
        <w:pStyle w:val="Heading2"/>
        <w:keepNext/>
      </w:pPr>
      <w:r>
        <w:rPr>
          <w:rFonts w:ascii="Inter" w:hAnsi="Inter"/>
        </w:rPr>
        <w:t>44.1 Prédiction du score</w:t>
      </w:r>
    </w:p>
    <w:p>
      <w:pPr/>
      <w:r>
        <w:rPr>
          <w:rFonts w:ascii="Inter" w:hAnsi="Inter"/>
          <w:i w:val="0"/>
        </w:rPr>
        <w:t>Question : « À ton avis, combien vaut ton 3P ? » avec un slider de 0 à 100. Exemple de prédiction : 78.</w:t>
      </w:r>
    </w:p>
    <w:p>
      <w:pPr>
        <w:pStyle w:val="Heading2"/>
        <w:keepNext/>
      </w:pPr>
      <w:r>
        <w:rPr>
          <w:rFonts w:ascii="Inter" w:hAnsi="Inter"/>
        </w:rPr>
        <w:t>44.2 Prédiction de l’Investment Age</w:t>
      </w:r>
    </w:p>
    <w:p>
      <w:pPr/>
      <w:r>
        <w:rPr>
          <w:rFonts w:ascii="Inter" w:hAnsi="Inter"/>
          <w:i w:val="0"/>
        </w:rPr>
        <w:t>Question : « À quelle époque ressemble ton allocation ? » avec un slider de 1990 à l’année actuelle. Exemple : 2019. La séquence crée une tension simple : prédiction puis révélation.</w:t>
      </w:r>
    </w:p>
    <w:p>
      <w:pPr>
        <w:pStyle w:val="Heading1"/>
        <w:keepNext/>
      </w:pPr>
      <w:r>
        <w:rPr>
          <w:rFonts w:ascii="Inter" w:hAnsi="Inter"/>
        </w:rPr>
        <w:t>45. Reveal Stories et page scrollable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Mode</w:t>
            </w:r>
          </w:p>
        </w:tc>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Rôle</w:t>
            </w:r>
          </w:p>
        </w:tc>
        <w:tc>
          <w:tcPr>
            <w:tcW w:type="dxa" w:w="340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Principe</w:t>
            </w:r>
          </w:p>
        </w:tc>
      </w:tr>
      <w:tr>
        <w:trPr>
          <w:cantSplit/>
        </w:trPr>
        <w:tc>
          <w:tcPr>
            <w:tcW w:type="dxa" w:w="226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Stories / Reveal</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Émotion, rythme, surprise, viralité, mémorisation</w:t>
            </w:r>
          </w:p>
        </w:tc>
        <w:tc>
          <w:tcPr>
            <w:tcW w:type="dxa" w:w="340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Une information forte par slide</w:t>
            </w:r>
          </w:p>
        </w:tc>
      </w:tr>
      <w:tr>
        <w:trPr>
          <w:cantSplit/>
        </w:trPr>
        <w:tc>
          <w:tcPr>
            <w:tcW w:type="dxa" w:w="226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Page scrollable</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Exploration, comparaison, simulation, compréhension, action</w:t>
            </w:r>
          </w:p>
        </w:tc>
        <w:tc>
          <w:tcPr>
            <w:tcW w:type="dxa" w:w="340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Progressive disclosure et contrôles interactifs</w:t>
            </w:r>
          </w:p>
        </w:tc>
      </w:tr>
    </w:tbl>
    <w:p>
      <w:pPr>
        <w:spacing w:after="0"/>
      </w:pPr>
    </w:p>
    <w:p>
      <w:pPr/>
      <w:r>
        <w:rPr>
          <w:rFonts w:ascii="Inter" w:hAnsi="Inter"/>
          <w:i w:val="0"/>
        </w:rPr>
        <w:t>À la fin du Reveal : « Voir mon analyse complète ». Sur la page détaillée : « Rejouer mon Reveal ».</w:t>
      </w:r>
    </w:p>
    <w:p>
      <w:pPr>
        <w:pStyle w:val="Heading2"/>
        <w:keepNext/>
      </w:pPr>
      <w:r>
        <w:rPr>
          <w:rFonts w:ascii="Inter" w:hAnsi="Inter"/>
        </w:rPr>
        <w:t>45.1 Structure possible du Reveal</w:t>
      </w:r>
    </w:p>
    <w:p>
      <w:pPr>
        <w:spacing w:after="60"/>
        <w:ind w:left="312" w:hanging="238"/>
      </w:pPr>
      <w:r>
        <w:rPr>
          <w:rFonts w:ascii="Inter" w:hAnsi="Inter"/>
          <w:b/>
          <w:color w:val="6D4AFF"/>
        </w:rPr>
        <w:t xml:space="preserve">1. </w:t>
      </w:r>
      <w:r>
        <w:rPr>
          <w:rFonts w:ascii="Inter" w:hAnsi="Inter"/>
        </w:rPr>
        <w:t>Profil / identité visuelle.</w:t>
      </w:r>
    </w:p>
    <w:p>
      <w:pPr>
        <w:spacing w:after="60"/>
        <w:ind w:left="312" w:hanging="238"/>
      </w:pPr>
      <w:r>
        <w:rPr>
          <w:rFonts w:ascii="Inter" w:hAnsi="Inter"/>
          <w:b/>
          <w:color w:val="6D4AFF"/>
        </w:rPr>
        <w:t xml:space="preserve">2. </w:t>
      </w:r>
      <w:r>
        <w:rPr>
          <w:rFonts w:ascii="Inter" w:hAnsi="Inter"/>
        </w:rPr>
        <w:t>Investment Age.</w:t>
      </w:r>
    </w:p>
    <w:p>
      <w:pPr>
        <w:spacing w:after="60"/>
        <w:ind w:left="312" w:hanging="238"/>
      </w:pPr>
      <w:r>
        <w:rPr>
          <w:rFonts w:ascii="Inter" w:hAnsi="Inter"/>
          <w:b/>
          <w:color w:val="6D4AFF"/>
        </w:rPr>
        <w:t xml:space="preserve">3. </w:t>
      </w:r>
      <w:r>
        <w:rPr>
          <w:rFonts w:ascii="Inter" w:hAnsi="Inter"/>
        </w:rPr>
        <w:t>CoverView Score.</w:t>
      </w:r>
    </w:p>
    <w:p>
      <w:pPr>
        <w:spacing w:after="60"/>
        <w:ind w:left="312" w:hanging="238"/>
      </w:pPr>
      <w:r>
        <w:rPr>
          <w:rFonts w:ascii="Inter" w:hAnsi="Inter"/>
          <w:b/>
          <w:color w:val="6D4AFF"/>
        </w:rPr>
        <w:t xml:space="preserve">4. </w:t>
      </w:r>
      <w:r>
        <w:rPr>
          <w:rFonts w:ascii="Inter" w:hAnsi="Inter"/>
        </w:rPr>
        <w:t>Point fort.</w:t>
      </w:r>
    </w:p>
    <w:p>
      <w:pPr>
        <w:spacing w:after="60"/>
        <w:ind w:left="312" w:hanging="238"/>
      </w:pPr>
      <w:r>
        <w:rPr>
          <w:rFonts w:ascii="Inter" w:hAnsi="Inter"/>
          <w:b/>
          <w:color w:val="6D4AFF"/>
        </w:rPr>
        <w:t xml:space="preserve">5. </w:t>
      </w:r>
      <w:r>
        <w:rPr>
          <w:rFonts w:ascii="Inter" w:hAnsi="Inter"/>
        </w:rPr>
        <w:t>Point faible.</w:t>
      </w:r>
    </w:p>
    <w:p>
      <w:pPr>
        <w:spacing w:after="60"/>
        <w:ind w:left="312" w:hanging="238"/>
      </w:pPr>
      <w:r>
        <w:rPr>
          <w:rFonts w:ascii="Inter" w:hAnsi="Inter"/>
          <w:b/>
          <w:color w:val="6D4AFF"/>
        </w:rPr>
        <w:t xml:space="preserve">6. </w:t>
      </w:r>
      <w:r>
        <w:rPr>
          <w:rFonts w:ascii="Inter" w:hAnsi="Inter"/>
        </w:rPr>
        <w:t>Retirement World.</w:t>
      </w:r>
    </w:p>
    <w:p>
      <w:pPr>
        <w:spacing w:after="60"/>
        <w:ind w:left="312" w:hanging="238"/>
      </w:pPr>
      <w:r>
        <w:rPr>
          <w:rFonts w:ascii="Inter" w:hAnsi="Inter"/>
          <w:b/>
          <w:color w:val="6D4AFF"/>
        </w:rPr>
        <w:t xml:space="preserve">7. </w:t>
      </w:r>
      <w:r>
        <w:rPr>
          <w:rFonts w:ascii="Inter" w:hAnsi="Inter"/>
        </w:rPr>
        <w:t>Retirement Target Age.</w:t>
      </w:r>
    </w:p>
    <w:p>
      <w:pPr>
        <w:spacing w:after="60"/>
        <w:ind w:left="312" w:hanging="238"/>
      </w:pPr>
      <w:r>
        <w:rPr>
          <w:rFonts w:ascii="Inter" w:hAnsi="Inter"/>
          <w:b/>
          <w:color w:val="6D4AFF"/>
        </w:rPr>
        <w:t xml:space="preserve">8. </w:t>
      </w:r>
      <w:r>
        <w:rPr>
          <w:rFonts w:ascii="Inter" w:hAnsi="Inter"/>
        </w:rPr>
        <w:t>Goal Probability.</w:t>
      </w:r>
    </w:p>
    <w:p>
      <w:pPr>
        <w:spacing w:after="60"/>
        <w:ind w:left="312" w:hanging="238"/>
      </w:pPr>
      <w:r>
        <w:rPr>
          <w:rFonts w:ascii="Inter" w:hAnsi="Inter"/>
          <w:b/>
          <w:color w:val="6D4AFF"/>
        </w:rPr>
        <w:t xml:space="preserve">9. </w:t>
      </w:r>
      <w:r>
        <w:rPr>
          <w:rFonts w:ascii="Inter" w:hAnsi="Inter"/>
        </w:rPr>
        <w:t>Peut-on faire mieux ?</w:t>
      </w:r>
    </w:p>
    <w:p>
      <w:pPr>
        <w:spacing w:after="60"/>
        <w:ind w:left="312" w:hanging="238"/>
      </w:pPr>
      <w:r>
        <w:rPr>
          <w:rFonts w:ascii="Inter" w:hAnsi="Inter"/>
          <w:b/>
          <w:color w:val="6D4AFF"/>
        </w:rPr>
        <w:t xml:space="preserve">10. </w:t>
      </w:r>
      <w:r>
        <w:rPr>
          <w:rFonts w:ascii="Inter" w:hAnsi="Inter"/>
        </w:rPr>
        <w:t>Alternative ou optimisation.</w:t>
      </w:r>
    </w:p>
    <w:p>
      <w:pPr>
        <w:pStyle w:val="Heading1"/>
        <w:keepNext/>
      </w:pPr>
      <w:r>
        <w:rPr>
          <w:rFonts w:ascii="Inter" w:hAnsi="Inter"/>
        </w:rPr>
        <w:t>46. Portfolio DNA</w:t>
      </w:r>
    </w:p>
    <w:p>
      <w:pPr/>
      <w:r>
        <w:rPr>
          <w:rFonts w:ascii="Inter" w:hAnsi="Inter"/>
          <w:i w:val="0"/>
        </w:rPr>
        <w:t>Le Portfolio DNA répond à « Dans quoi suis-je investi ? » et décrit la personnalité de l’allocation. Il ne doit pas porter à lui seul le résultat retraite.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3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Exposition</w:t>
            </w:r>
          </w:p>
        </w:tc>
        <w:tc>
          <w:tcPr>
            <w:tcW w:type="dxa" w:w="5103"/>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Technologie</w:t>
            </w:r>
          </w:p>
        </w:tc>
        <w:tc>
          <w:tcPr>
            <w:tcW w:type="dxa" w:w="510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38 %</w:t>
            </w:r>
          </w:p>
        </w:tc>
      </w:tr>
      <w:tr>
        <w:trPr>
          <w:cantSplit/>
        </w:trPr>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Monde</w:t>
            </w:r>
          </w:p>
        </w:tc>
        <w:tc>
          <w:tcPr>
            <w:tcW w:type="dxa" w:w="510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27 %</w:t>
            </w:r>
          </w:p>
        </w:tc>
      </w:tr>
      <w:tr>
        <w:trPr>
          <w:cantSplit/>
        </w:trPr>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Suisse</w:t>
            </w:r>
          </w:p>
        </w:tc>
        <w:tc>
          <w:tcPr>
            <w:tcW w:type="dxa" w:w="510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18 %</w:t>
            </w:r>
          </w:p>
        </w:tc>
      </w:tr>
      <w:tr>
        <w:trPr>
          <w:cantSplit/>
        </w:trPr>
        <w:tc>
          <w:tcPr>
            <w:tcW w:type="dxa" w:w="453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Obligations</w:t>
            </w:r>
          </w:p>
        </w:tc>
        <w:tc>
          <w:tcPr>
            <w:tcW w:type="dxa" w:w="510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9 %</w:t>
            </w:r>
          </w:p>
        </w:tc>
      </w:tr>
      <w:tr>
        <w:trPr>
          <w:cantSplit/>
        </w:trPr>
        <w:tc>
          <w:tcPr>
            <w:tcW w:type="dxa" w:w="453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Autres</w:t>
            </w:r>
          </w:p>
        </w:tc>
        <w:tc>
          <w:tcPr>
            <w:tcW w:type="dxa" w:w="510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8 %</w:t>
            </w:r>
          </w:p>
        </w:tc>
      </w:tr>
    </w:tbl>
    <w:p>
      <w:pPr>
        <w:spacing w:after="0"/>
      </w:pPr>
    </w:p>
    <w:p>
      <w:pPr/>
      <w:r>
        <w:rPr>
          <w:rFonts w:ascii="Inter" w:hAnsi="Inter"/>
          <w:i w:val="0"/>
        </w:rPr>
        <w:t>Archétypes possibles : THE FUTURIST, THE CLASSIC, THE EXPLORER, THE FORTRESS, THE TIME TRAVELER, THE ROCKET. Les règles d’attribution doivent être versionnées et explicables.</w:t>
      </w:r>
    </w:p>
    <w:p>
      <w:pPr>
        <w:pStyle w:val="Heading1"/>
        <w:keepNext/>
      </w:pPr>
      <w:r>
        <w:rPr>
          <w:rFonts w:ascii="Inter" w:hAnsi="Inter"/>
        </w:rPr>
        <w:t>47. Investment Age</w:t>
      </w:r>
    </w:p>
    <w:p>
      <w:pPr/>
      <w:r>
        <w:rPr>
          <w:rFonts w:ascii="Inter" w:hAnsi="Inter"/>
          <w:i w:val="0"/>
        </w:rPr>
        <w:t>L’Investment Age mesure à quelle époque l’allocation ressemble selon une méthode de similarité ou des cohortes de portefeuille. Exemple : 2006. Il s’agit d’une métaphore analytique et non d’une affirmation sur la date de dernière révision.</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Votre allocation ressemble davantage aux allocations que l’on rencontrait autour de cette période.</w:t>
            </w:r>
          </w:p>
        </w:tc>
      </w:tr>
    </w:tbl>
    <w:p>
      <w:pPr>
        <w:spacing w:after="0"/>
      </w:pPr>
    </w:p>
    <w:p>
      <w:pPr>
        <w:pStyle w:val="ListBullet"/>
        <w:spacing w:after="50"/>
        <w:ind w:left="312" w:hanging="102"/>
      </w:pPr>
      <w:r>
        <w:rPr>
          <w:rFonts w:ascii="Inter" w:hAnsi="Inter"/>
        </w:rPr>
        <w:t>afficher l’écart entre prédiction et résultat ;</w:t>
      </w:r>
    </w:p>
    <w:p>
      <w:pPr>
        <w:pStyle w:val="ListBullet"/>
        <w:spacing w:after="50"/>
        <w:ind w:left="312" w:hanging="102"/>
      </w:pPr>
      <w:r>
        <w:rPr>
          <w:rFonts w:ascii="Inter" w:hAnsi="Inter"/>
        </w:rPr>
        <w:t>poser ensuite la question « Quand votre stratégie a-t-elle été revue pour la dernière fois ? » ;</w:t>
      </w:r>
    </w:p>
    <w:p>
      <w:pPr>
        <w:pStyle w:val="ListBullet"/>
        <w:spacing w:after="50"/>
        <w:ind w:left="312" w:hanging="102"/>
      </w:pPr>
      <w:r>
        <w:rPr>
          <w:rFonts w:ascii="Inter" w:hAnsi="Inter"/>
        </w:rPr>
        <w:t>ne jamais écrire « votre allocation n’a pas été revue depuis 2006 » si cette donnée est inconnue ;</w:t>
      </w:r>
    </w:p>
    <w:p>
      <w:pPr>
        <w:pStyle w:val="ListBullet"/>
        <w:spacing w:after="50"/>
        <w:ind w:left="312" w:hanging="102"/>
      </w:pPr>
      <w:r>
        <w:rPr>
          <w:rFonts w:ascii="Inter" w:hAnsi="Inter"/>
        </w:rPr>
        <w:t>CTA : comprendre mon allocation ou faire vérifier ma stratégie.</w:t>
      </w:r>
    </w:p>
    <w:p>
      <w:pPr>
        <w:pStyle w:val="Heading1"/>
        <w:keepNext/>
      </w:pPr>
      <w:r>
        <w:rPr>
          <w:rFonts w:ascii="Inter" w:hAnsi="Inter"/>
        </w:rPr>
        <w:t>48. CoverView Score, benchmark et Strategy Freshness</w:t>
      </w:r>
    </w:p>
    <w:p>
      <w:pPr>
        <w:pStyle w:val="Heading2"/>
        <w:keepNext/>
      </w:pPr>
      <w:r>
        <w:rPr>
          <w:rFonts w:ascii="Inter" w:hAnsi="Inter"/>
        </w:rPr>
        <w:t>48.1 CoverView Score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567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Sous-score</w:t>
            </w:r>
          </w:p>
        </w:tc>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Performance</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74</w:t>
            </w:r>
          </w:p>
        </w:tc>
      </w:tr>
      <w:tr>
        <w:trPr>
          <w:cantSplit/>
        </w:trPr>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Frais</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51</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Diversification</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69</w:t>
            </w:r>
          </w:p>
        </w:tc>
      </w:tr>
      <w:tr>
        <w:trPr>
          <w:cantSplit/>
        </w:trPr>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Allocation</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82</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Protection</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61</w:t>
            </w:r>
          </w:p>
        </w:tc>
      </w:tr>
      <w:tr>
        <w:trPr>
          <w:cantSplit/>
        </w:trPr>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Flexibilité</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43</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Adaptabilité</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48</w:t>
            </w:r>
          </w:p>
        </w:tc>
      </w:tr>
    </w:tbl>
    <w:p>
      <w:pPr>
        <w:spacing w:after="0"/>
      </w:pPr>
    </w:p>
    <w:p>
      <w:pPr/>
      <w:r>
        <w:rPr>
          <w:rFonts w:ascii="Inter" w:hAnsi="Inter"/>
          <w:i w:val="0"/>
        </w:rPr>
        <w:t>Exemple de score global : 67 / 100. Les pondérations sont administrables, versionnées et affichables. Une note doit toujours être accompagnée d’explications et d’actions possibles.</w:t>
      </w:r>
    </w:p>
    <w:p>
      <w:pPr>
        <w:pStyle w:val="Heading2"/>
        <w:keepNext/>
      </w:pPr>
      <w:r>
        <w:rPr>
          <w:rFonts w:ascii="Inter" w:hAnsi="Inter"/>
        </w:rPr>
        <w:t>48.2 Benchmark</w:t>
      </w:r>
    </w:p>
    <w:p>
      <w:pPr/>
      <w:r>
        <w:rPr>
          <w:rFonts w:ascii="Inter" w:hAnsi="Inter"/>
          <w:i w:val="0"/>
        </w:rPr>
        <w:t>Lorsque la base est suffisante : « TOP 18 % - ce contrat obtient un meilleur score que 82 % des contrats comparables analysés ». La taille de cohorte, les filtres et la date du benchmark doivent être accessibles.</w:t>
      </w:r>
    </w:p>
    <w:p>
      <w:pPr>
        <w:pStyle w:val="Heading2"/>
        <w:keepNext/>
      </w:pPr>
      <w:r>
        <w:rPr>
          <w:rFonts w:ascii="Inter" w:hAnsi="Inter"/>
        </w:rPr>
        <w:t>48.3 Strategy Freshness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Dimension</w:t>
            </w:r>
          </w:p>
        </w:tc>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Investment Age</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2006</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Dernière revue connue</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Inconnue</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Univers d’investissement</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Limité</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Adaptabilité</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42 / 100</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Suivi</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Non renseigné</w:t>
            </w:r>
          </w:p>
        </w:tc>
      </w:tr>
    </w:tbl>
    <w:p>
      <w:pPr>
        <w:spacing w:after="0"/>
      </w:pPr>
    </w:p>
    <w:p>
      <w:pPr/>
      <w:r>
        <w:rPr>
          <w:rFonts w:ascii="Inter" w:hAnsi="Inter"/>
          <w:i w:val="0"/>
        </w:rPr>
        <w:t>Message : « CoverView réévalue régulièrement les stratégies suivies ». CTA : « Voir ce que CoverView surveille ».</w:t>
      </w:r>
    </w:p>
    <w:p>
      <w:pPr>
        <w:pStyle w:val="Heading1"/>
        <w:keepNext/>
      </w:pPr>
      <w:r>
        <w:rPr>
          <w:rFonts w:ascii="Inter" w:hAnsi="Inter"/>
        </w:rPr>
        <w:t>49. Les métriques principales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8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Métrique</w:t>
            </w:r>
          </w:p>
        </w:tc>
        <w:tc>
          <w:tcPr>
            <w:tcW w:type="dxa" w:w="260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Rôle</w:t>
            </w:r>
          </w:p>
        </w:tc>
        <w:tc>
          <w:tcPr>
            <w:tcW w:type="dxa" w:w="464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Définition produit</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Investment Age</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Virale</w:t>
            </w:r>
          </w:p>
        </w:tc>
        <w:tc>
          <w:tcPr>
            <w:tcW w:type="dxa" w:w="464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Époque à laquelle l’allocation ressemble</w:t>
            </w:r>
          </w:p>
        </w:tc>
      </w:tr>
      <w:tr>
        <w:trPr>
          <w:cantSplit/>
        </w:trPr>
        <w:tc>
          <w:tcPr>
            <w:tcW w:type="dxa" w:w="238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CoverView Score</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Produit</w:t>
            </w:r>
          </w:p>
        </w:tc>
        <w:tc>
          <w:tcPr>
            <w:tcW w:type="dxa" w:w="464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Qualité globale explicable du contrat</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Retirement Target Age</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Commerciale et intuitive</w:t>
            </w:r>
          </w:p>
        </w:tc>
        <w:tc>
          <w:tcPr>
            <w:tcW w:type="dxa" w:w="464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Premier âge où l’objectif atteint le niveau de confiance choisi</w:t>
            </w:r>
          </w:p>
        </w:tc>
      </w:tr>
      <w:tr>
        <w:trPr>
          <w:cantSplit/>
        </w:trPr>
        <w:tc>
          <w:tcPr>
            <w:tcW w:type="dxa" w:w="238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Goal Probability</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Rigueur financière</w:t>
            </w:r>
          </w:p>
        </w:tc>
        <w:tc>
          <w:tcPr>
            <w:tcW w:type="dxa" w:w="464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 des trajectoires atteignant l’objectif à l’âge donné</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Retirement World</w:t>
            </w:r>
          </w:p>
        </w:tc>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Visualisation émotionnelle</w:t>
            </w:r>
          </w:p>
        </w:tc>
        <w:tc>
          <w:tcPr>
            <w:tcW w:type="dxa" w:w="464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Traduction visuelle d’un score de trajectoire multi-critères</w:t>
            </w:r>
          </w:p>
        </w:tc>
      </w:tr>
      <w:tr>
        <w:trPr>
          <w:cantSplit/>
        </w:trPr>
        <w:tc>
          <w:tcPr>
            <w:tcW w:type="dxa" w:w="238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Inflation</w:t>
            </w:r>
          </w:p>
        </w:tc>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Hypothèse macro fondamentale</w:t>
            </w:r>
          </w:p>
        </w:tc>
        <w:tc>
          <w:tcPr>
            <w:tcW w:type="dxa" w:w="464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Érosion du pouvoir d’achat intégrée par défaut</w:t>
            </w:r>
          </w:p>
        </w:tc>
      </w:tr>
    </w:tbl>
    <w:p>
      <w:pPr>
        <w:spacing w:after="0"/>
      </w:pPr>
    </w:p>
    <w:p>
      <w:pPr>
        <w:pStyle w:val="Heading1"/>
        <w:keepNext/>
      </w:pPr>
      <w:r>
        <w:rPr>
          <w:rFonts w:ascii="Inter" w:hAnsi="Inter"/>
        </w:rPr>
        <w:t>50. Retirement World</w:t>
      </w:r>
    </w:p>
    <w:p>
      <w:pPr/>
      <w:r>
        <w:rPr>
          <w:rFonts w:ascii="Inter" w:hAnsi="Inter"/>
          <w:i w:val="0"/>
        </w:rPr>
        <w:t>Le Retirement World répond à « Où ma stratégie actuelle est-elle en train de m’emmener ? ». Il est piloté par un score de trajectoire combinant Goal Probability, Target Age, capital projeté, risque, volatilité, drawdown, frais, diversification et horizon. Les pondérations exactes restent paramétrables et versionnées.</w:t>
      </w:r>
    </w:p>
    <w:p>
      <w:pPr>
        <w:pStyle w:val="Heading2"/>
        <w:keepNext/>
      </w:pPr>
      <w:r>
        <w:rPr>
          <w:rFonts w:ascii="Inter" w:hAnsi="Inter"/>
        </w:rPr>
        <w:t>50.1 Progression visuelle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3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Niveau</w:t>
            </w:r>
          </w:p>
        </w:tc>
        <w:tc>
          <w:tcPr>
            <w:tcW w:type="dxa" w:w="289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Situation</w:t>
            </w:r>
          </w:p>
        </w:tc>
        <w:tc>
          <w:tcPr>
            <w:tcW w:type="dxa" w:w="521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Éléments visuels</w:t>
            </w:r>
          </w:p>
        </w:tc>
      </w:tr>
      <w:tr>
        <w:trPr>
          <w:cantSplit/>
        </w:trPr>
        <w:tc>
          <w:tcPr>
            <w:tcW w:type="dxa" w:w="15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0-20 %</w:t>
            </w:r>
          </w:p>
        </w:tc>
        <w:tc>
          <w:tcPr>
            <w:tcW w:type="dxa" w:w="289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Trajectoire très insuffisante</w:t>
            </w:r>
          </w:p>
        </w:tc>
        <w:tc>
          <w:tcPr>
            <w:tcW w:type="dxa" w:w="521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Vêtements abîmés, pluie, boue, petite cabane</w:t>
            </w:r>
          </w:p>
        </w:tc>
      </w:tr>
      <w:tr>
        <w:trPr>
          <w:cantSplit/>
        </w:trPr>
        <w:tc>
          <w:tcPr>
            <w:tcW w:type="dxa" w:w="15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20-40 %</w:t>
            </w:r>
          </w:p>
        </w:tc>
        <w:tc>
          <w:tcPr>
            <w:tcW w:type="dxa" w:w="289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Situation modeste</w:t>
            </w:r>
          </w:p>
        </w:tc>
        <w:tc>
          <w:tcPr>
            <w:tcW w:type="dxa" w:w="521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Paysan, petite maison, ciel gris</w:t>
            </w:r>
          </w:p>
        </w:tc>
      </w:tr>
      <w:tr>
        <w:trPr>
          <w:cantSplit/>
        </w:trPr>
        <w:tc>
          <w:tcPr>
            <w:tcW w:type="dxa" w:w="15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40-60 %</w:t>
            </w:r>
          </w:p>
        </w:tc>
        <w:tc>
          <w:tcPr>
            <w:tcW w:type="dxa" w:w="289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Stable</w:t>
            </w:r>
          </w:p>
        </w:tc>
        <w:tc>
          <w:tcPr>
            <w:tcW w:type="dxa" w:w="521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Artisan, maison correcte, village</w:t>
            </w:r>
          </w:p>
        </w:tc>
      </w:tr>
      <w:tr>
        <w:trPr>
          <w:cantSplit/>
        </w:trPr>
        <w:tc>
          <w:tcPr>
            <w:tcW w:type="dxa" w:w="15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60-75 %</w:t>
            </w:r>
          </w:p>
        </w:tc>
        <w:tc>
          <w:tcPr>
            <w:tcW w:type="dxa" w:w="289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Confortable</w:t>
            </w:r>
          </w:p>
        </w:tc>
        <w:tc>
          <w:tcPr>
            <w:tcW w:type="dxa" w:w="521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Marchand, belle maison, cheval, éclaircies</w:t>
            </w:r>
          </w:p>
        </w:tc>
      </w:tr>
      <w:tr>
        <w:trPr>
          <w:cantSplit/>
        </w:trPr>
        <w:tc>
          <w:tcPr>
            <w:tcW w:type="dxa" w:w="15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75-90 %</w:t>
            </w:r>
          </w:p>
        </w:tc>
        <w:tc>
          <w:tcPr>
            <w:tcW w:type="dxa" w:w="289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Prospère</w:t>
            </w:r>
          </w:p>
        </w:tc>
        <w:tc>
          <w:tcPr>
            <w:tcW w:type="dxa" w:w="521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Noble, domaine, coffre, soleil</w:t>
            </w:r>
          </w:p>
        </w:tc>
      </w:tr>
      <w:tr>
        <w:trPr>
          <w:cantSplit/>
        </w:trPr>
        <w:tc>
          <w:tcPr>
            <w:tcW w:type="dxa" w:w="15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 xml:space="preserve">90-100 %+ </w:t>
            </w:r>
          </w:p>
        </w:tc>
        <w:tc>
          <w:tcPr>
            <w:tcW w:type="dxa" w:w="289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Objectif fortement couvert</w:t>
            </w:r>
          </w:p>
        </w:tc>
        <w:tc>
          <w:tcPr>
            <w:tcW w:type="dxa" w:w="521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Seigneur, château, royaume prospère, couronne éventuelle</w:t>
            </w:r>
          </w:p>
        </w:tc>
      </w:tr>
    </w:tbl>
    <w:p>
      <w:pPr>
        <w:spacing w:after="0"/>
      </w:pPr>
    </w:p>
    <w:p>
      <w:pPr/>
      <w:r>
        <w:rPr>
          <w:rFonts w:ascii="Inter" w:hAnsi="Inter"/>
          <w:i w:val="0"/>
        </w:rPr>
        <w:t>Le ton peut être humoristique, mais le wording principal ne doit pas ridiculiser l’utilisateur. La scène doit rester une simplification explicable, et non un verdict moral.</w:t>
      </w:r>
    </w:p>
    <w:p>
      <w:pPr>
        <w:pStyle w:val="Heading1"/>
        <w:keepNext/>
      </w:pPr>
      <w:r>
        <w:rPr>
          <w:rFonts w:ascii="Inter" w:hAnsi="Inter"/>
        </w:rPr>
        <w:t>51. Scène interactive et actuel vs optimisé</w:t>
      </w:r>
    </w:p>
    <w:p>
      <w:pPr/>
      <w:r>
        <w:rPr>
          <w:rFonts w:ascii="Inter" w:hAnsi="Inter"/>
          <w:i w:val="0"/>
        </w:rPr>
        <w:t>Les sliders modifient la scène en temps réel. Exemple : CHF 250/mois -&gt; cabane ; CHF 350 -&gt; maison ; CHF 450 -&gt; domaine ; CHF 500 -&gt; château. La météo s’améliore, le coffre se remplit, des tours apparaissent et le personnage évolue.</w:t>
      </w:r>
    </w:p>
    <w:p>
      <w:pPr>
        <w:pStyle w:val="Heading2"/>
        <w:keepNext/>
      </w:pPr>
      <w:r>
        <w:rPr>
          <w:rFonts w:ascii="Inter" w:hAnsi="Inter"/>
        </w:rPr>
        <w:t>51.1 Comparaison forte</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272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Scénario</w:t>
            </w:r>
          </w:p>
        </w:tc>
        <w:tc>
          <w:tcPr>
            <w:tcW w:type="dxa" w:w="272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Retirement World</w:t>
            </w:r>
          </w:p>
        </w:tc>
        <w:tc>
          <w:tcPr>
            <w:tcW w:type="dxa" w:w="209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Goal Probability</w:t>
            </w:r>
          </w:p>
        </w:tc>
        <w:tc>
          <w:tcPr>
            <w:tcW w:type="dxa" w:w="209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Target Age</w:t>
            </w:r>
          </w:p>
        </w:tc>
      </w:tr>
      <w:tr>
        <w:trPr>
          <w:cantSplit/>
        </w:trPr>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Stratégie actuelle</w:t>
            </w:r>
          </w:p>
        </w:tc>
        <w:tc>
          <w:tcPr>
            <w:tcW w:type="dxa" w:w="272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Petite maison</w:t>
            </w:r>
          </w:p>
        </w:tc>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24 %</w:t>
            </w:r>
          </w:p>
        </w:tc>
        <w:tc>
          <w:tcPr>
            <w:tcW w:type="dxa" w:w="209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72 ans</w:t>
            </w:r>
          </w:p>
        </w:tc>
      </w:tr>
      <w:tr>
        <w:trPr>
          <w:cantSplit/>
        </w:trPr>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Alternative</w:t>
            </w:r>
          </w:p>
        </w:tc>
        <w:tc>
          <w:tcPr>
            <w:tcW w:type="dxa" w:w="272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Château</w:t>
            </w:r>
          </w:p>
        </w:tc>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71 %</w:t>
            </w:r>
          </w:p>
        </w:tc>
        <w:tc>
          <w:tcPr>
            <w:tcW w:type="dxa" w:w="209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64 ans</w:t>
            </w:r>
          </w:p>
        </w:tc>
      </w:tr>
    </w:tbl>
    <w:p>
      <w:pPr>
        <w:spacing w:after="0"/>
      </w:pPr>
    </w:p>
    <w:p>
      <w:pPr/>
      <w:r>
        <w:rPr>
          <w:rFonts w:ascii="Inter" w:hAnsi="Inter"/>
          <w:i w:val="0"/>
        </w:rPr>
        <w:t>Un slider « ACTUEL &lt;-&gt; OPTIMISÉ » peut transformer la scène entière, tout en affichant les métriques qui expliquent le changement.</w:t>
      </w:r>
    </w:p>
    <w:p>
      <w:pPr>
        <w:pStyle w:val="Heading1"/>
        <w:keepNext/>
      </w:pPr>
      <w:r>
        <w:rPr>
          <w:rFonts w:ascii="Inter" w:hAnsi="Inter"/>
        </w:rPr>
        <w:t>52. Calculateur retraite</w:t>
      </w:r>
    </w:p>
    <w:p>
      <w:pPr>
        <w:keepNext w:val="0"/>
      </w:pPr>
      <w:r>
        <w:t>Raccordement Retire : le calculateur décrit ici reste l’entrée d’accumulation et de préparation. La Partie VI bis le prolonge par la décision rente/capital et le financement de la vie après la retraite. Les données et simulations sont réutilisées, sans nouvel espace client.</w:t>
      </w:r>
    </w:p>
    <w:p>
      <w:pPr>
        <w:pStyle w:val="Heading2"/>
        <w:keepNext/>
      </w:pPr>
      <w:r>
        <w:rPr>
          <w:rFonts w:ascii="Inter" w:hAnsi="Inter"/>
        </w:rPr>
        <w:t>52.1 Données principales</w:t>
      </w:r>
    </w:p>
    <w:p>
      <w:pPr>
        <w:pStyle w:val="ListBullet"/>
        <w:spacing w:after="50"/>
        <w:ind w:left="312" w:hanging="102"/>
      </w:pPr>
      <w:r>
        <w:rPr>
          <w:rFonts w:ascii="Inter" w:hAnsi="Inter"/>
        </w:rPr>
        <w:t>âge ;</w:t>
      </w:r>
    </w:p>
    <w:p>
      <w:pPr>
        <w:pStyle w:val="ListBullet"/>
        <w:spacing w:after="50"/>
        <w:ind w:left="312" w:hanging="102"/>
      </w:pPr>
      <w:r>
        <w:rPr>
          <w:rFonts w:ascii="Inter" w:hAnsi="Inter"/>
        </w:rPr>
        <w:t>salaire ;</w:t>
      </w:r>
    </w:p>
    <w:p>
      <w:pPr>
        <w:pStyle w:val="ListBullet"/>
        <w:spacing w:after="50"/>
        <w:ind w:left="312" w:hanging="102"/>
      </w:pPr>
      <w:r>
        <w:rPr>
          <w:rFonts w:ascii="Inter" w:hAnsi="Inter"/>
        </w:rPr>
        <w:t>objectif de revenu ;</w:t>
      </w:r>
    </w:p>
    <w:p>
      <w:pPr>
        <w:pStyle w:val="ListBullet"/>
        <w:spacing w:after="50"/>
        <w:ind w:left="312" w:hanging="102"/>
      </w:pPr>
      <w:r>
        <w:rPr>
          <w:rFonts w:ascii="Inter" w:hAnsi="Inter"/>
        </w:rPr>
        <w:t>âge souhaité ;</w:t>
      </w:r>
    </w:p>
    <w:p>
      <w:pPr>
        <w:pStyle w:val="ListBullet"/>
        <w:spacing w:after="50"/>
        <w:ind w:left="312" w:hanging="102"/>
      </w:pPr>
      <w:r>
        <w:rPr>
          <w:rFonts w:ascii="Inter" w:hAnsi="Inter"/>
        </w:rPr>
        <w:t>cotisation ;</w:t>
      </w:r>
    </w:p>
    <w:p>
      <w:pPr>
        <w:pStyle w:val="ListBullet"/>
        <w:spacing w:after="50"/>
        <w:ind w:left="312" w:hanging="102"/>
      </w:pPr>
      <w:r>
        <w:rPr>
          <w:rFonts w:ascii="Inter" w:hAnsi="Inter"/>
        </w:rPr>
        <w:t>inflation ;</w:t>
      </w:r>
    </w:p>
    <w:p>
      <w:pPr>
        <w:pStyle w:val="ListBullet"/>
        <w:spacing w:after="50"/>
        <w:ind w:left="312" w:hanging="102"/>
      </w:pPr>
      <w:r>
        <w:rPr>
          <w:rFonts w:ascii="Inter" w:hAnsi="Inter"/>
        </w:rPr>
        <w:t>AVS/LPP estimées ou réelles ;</w:t>
      </w:r>
    </w:p>
    <w:p>
      <w:pPr>
        <w:pStyle w:val="ListBullet"/>
        <w:spacing w:after="50"/>
        <w:ind w:left="312" w:hanging="102"/>
      </w:pPr>
      <w:r>
        <w:rPr>
          <w:rFonts w:ascii="Inter" w:hAnsi="Inter"/>
        </w:rPr>
        <w:t>capital existant ;</w:t>
      </w:r>
    </w:p>
    <w:p>
      <w:pPr>
        <w:pStyle w:val="ListBullet"/>
        <w:spacing w:after="50"/>
        <w:ind w:left="312" w:hanging="102"/>
      </w:pPr>
      <w:r>
        <w:rPr>
          <w:rFonts w:ascii="Inter" w:hAnsi="Inter"/>
        </w:rPr>
        <w:t>stratégie.</w:t>
      </w:r>
    </w:p>
    <w:p>
      <w:pPr>
        <w:pStyle w:val="Heading2"/>
        <w:keepNext/>
      </w:pPr>
      <w:r>
        <w:rPr>
          <w:rFonts w:ascii="Inter" w:hAnsi="Inter"/>
        </w:rPr>
        <w:t>52.2 Sliders et recalcul</w:t>
      </w:r>
    </w:p>
    <w:p>
      <w:pPr>
        <w:pStyle w:val="ListBullet"/>
        <w:spacing w:after="50"/>
        <w:ind w:left="312" w:hanging="102"/>
      </w:pPr>
      <w:r>
        <w:rPr>
          <w:rFonts w:ascii="Inter" w:hAnsi="Inter"/>
        </w:rPr>
        <w:t>salaire : CHF 3’000 à CHF 15’000 par mois ;</w:t>
      </w:r>
    </w:p>
    <w:p>
      <w:pPr>
        <w:pStyle w:val="ListBullet"/>
        <w:spacing w:after="50"/>
        <w:ind w:left="312" w:hanging="102"/>
      </w:pPr>
      <w:r>
        <w:rPr>
          <w:rFonts w:ascii="Inter" w:hAnsi="Inter"/>
        </w:rPr>
        <w:t>revenu souhaité : 60 % à 100 % ;</w:t>
      </w:r>
    </w:p>
    <w:p>
      <w:pPr>
        <w:pStyle w:val="ListBullet"/>
        <w:spacing w:after="50"/>
        <w:ind w:left="312" w:hanging="102"/>
      </w:pPr>
      <w:r>
        <w:rPr>
          <w:rFonts w:ascii="Inter" w:hAnsi="Inter"/>
        </w:rPr>
        <w:t>cotisation : CHF 100 au maximum applicable ;</w:t>
      </w:r>
    </w:p>
    <w:p>
      <w:pPr>
        <w:pStyle w:val="ListBullet"/>
        <w:spacing w:after="50"/>
        <w:ind w:left="312" w:hanging="102"/>
      </w:pPr>
      <w:r>
        <w:rPr>
          <w:rFonts w:ascii="Inter" w:hAnsi="Inter"/>
        </w:rPr>
        <w:t>âge de retraite et niveau de confiance ;</w:t>
      </w:r>
    </w:p>
    <w:p>
      <w:pPr>
        <w:pStyle w:val="ListBullet"/>
        <w:spacing w:after="50"/>
        <w:ind w:left="312" w:hanging="102"/>
      </w:pPr>
      <w:r>
        <w:rPr>
          <w:rFonts w:ascii="Inter" w:hAnsi="Inter"/>
        </w:rPr>
        <w:t>recalcul immédiat du capital, de la Goal Probability, du Target Age, du nombre de stratégies et du Retirement World.</w:t>
      </w:r>
    </w:p>
    <w:p>
      <w:pPr>
        <w:pStyle w:val="Heading1"/>
        <w:keepNext/>
      </w:pPr>
      <w:r>
        <w:rPr>
          <w:rFonts w:ascii="Inter" w:hAnsi="Inter"/>
        </w:rPr>
        <w:t>53. Inflation : réelle, nominale et indexation</w:t>
      </w:r>
    </w:p>
    <w:p>
      <w:pPr/>
      <w:r>
        <w:rPr>
          <w:rFonts w:ascii="Inter" w:hAnsi="Inter"/>
          <w:i w:val="0"/>
        </w:rPr>
        <w:t>L’inflation est intégrée par défaut à 4 % par an, valeur administrable dans Admin. L’interface affiche « Inflation incluse : 4 % » avec un lien « Modifier ». Un mode avancé propose un slider de 0 à 8 %, une option d’inclusion et une réinitialisation sur l’hypothèse CoverView.</w:t>
      </w:r>
    </w:p>
    <w:p>
      <w:pPr>
        <w:pStyle w:val="Heading2"/>
        <w:keepNext/>
      </w:pPr>
      <w:r>
        <w:rPr>
          <w:rFonts w:ascii="Inter" w:hAnsi="Inter"/>
        </w:rPr>
        <w:t>53.1 Pouvoir d’achat</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08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Concept</w:t>
            </w:r>
          </w:p>
        </w:tc>
        <w:tc>
          <w:tcPr>
            <w:tcW w:type="dxa" w:w="555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 d’affichage</w:t>
            </w:r>
          </w:p>
        </w:tc>
      </w:tr>
      <w:tr>
        <w:trPr>
          <w:cantSplit/>
        </w:trPr>
        <w:tc>
          <w:tcPr>
            <w:tcW w:type="dxa" w:w="408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Niveau de vie souhaité aujourd’hui</w:t>
            </w:r>
          </w:p>
        </w:tc>
        <w:tc>
          <w:tcPr>
            <w:tcW w:type="dxa" w:w="555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5’600/mois en pouvoir d’achat actuel</w:t>
            </w:r>
          </w:p>
        </w:tc>
      </w:tr>
      <w:tr>
        <w:trPr>
          <w:cantSplit/>
        </w:trPr>
        <w:tc>
          <w:tcPr>
            <w:tcW w:type="dxa" w:w="408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Équivalent à 65 ans</w:t>
            </w:r>
          </w:p>
        </w:tc>
        <w:tc>
          <w:tcPr>
            <w:tcW w:type="dxa" w:w="555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X/mois nominaux futurs</w:t>
            </w:r>
          </w:p>
        </w:tc>
      </w:tr>
      <w:tr>
        <w:trPr>
          <w:cantSplit/>
        </w:trPr>
        <w:tc>
          <w:tcPr>
            <w:tcW w:type="dxa" w:w="408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Switch</w:t>
            </w:r>
          </w:p>
        </w:tc>
        <w:tc>
          <w:tcPr>
            <w:tcW w:type="dxa" w:w="555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d’aujourd’hui / CHF futurs</w:t>
            </w:r>
          </w:p>
        </w:tc>
      </w:tr>
    </w:tbl>
    <w:p>
      <w:pPr>
        <w:spacing w:after="0"/>
      </w:pPr>
    </w:p>
    <w:p>
      <w:pPr/>
      <w:r>
        <w:rPr>
          <w:rFonts w:ascii="Inter" w:hAnsi="Inter"/>
          <w:i w:val="0"/>
        </w:rPr>
        <w:t>Par défaut, les CHF d’aujourd’hui sont plus faciles à comprendre. Chaque valeur doit cependant connaître son unité monétaire, sa date de référence et son caractère réel ou nominal.</w:t>
      </w:r>
    </w:p>
    <w:p>
      <w:pPr>
        <w:pStyle w:val="Heading2"/>
        <w:keepNext/>
      </w:pPr>
      <w:r>
        <w:rPr>
          <w:rFonts w:ascii="Inter" w:hAnsi="Inter"/>
        </w:rPr>
        <w:t>53.2 Cotisation indexée</w:t>
      </w:r>
    </w:p>
    <w:p>
      <w:pPr/>
      <w:r>
        <w:rPr>
          <w:rFonts w:ascii="Inter" w:hAnsi="Inter"/>
          <w:i w:val="0"/>
        </w:rPr>
        <w:t>Paramètre avancé : « Maintenir l’effort réel dans le temps ». L’utilisateur choisit une cotisation fixe ou indexée avec l’inflation. CHF 350 nominaux constants pendant trente ans ne représentent pas le même effort qu’une cotisation de pouvoir d’achat constant.</w:t>
      </w:r>
    </w:p>
    <w:p>
      <w:pPr>
        <w:pStyle w:val="Heading1"/>
        <w:keepNext/>
      </w:pPr>
      <w:r>
        <w:rPr>
          <w:rFonts w:ascii="Inter" w:hAnsi="Inter"/>
        </w:rPr>
        <w:t>54. AVS + LPP et Retirement Gap</w:t>
      </w:r>
    </w:p>
    <w:p>
      <w:pPr>
        <w:pStyle w:val="Heading2"/>
        <w:keepNext/>
      </w:pPr>
      <w:r>
        <w:rPr>
          <w:rFonts w:ascii="Inter" w:hAnsi="Inter"/>
        </w:rPr>
        <w:t>54.1 Estimation rapide</w:t>
      </w:r>
    </w:p>
    <w:p>
      <w:pPr/>
      <w:r>
        <w:rPr>
          <w:rFonts w:ascii="Inter" w:hAnsi="Inter"/>
          <w:i w:val="0"/>
        </w:rPr>
        <w:t>Pour un parcours simplifié, AVS + LPP peuvent être estimées à environ 60 % du revenu, avec une mention claire « estimation simplifiée ». Exemple : salaire CHF 7’000, objectif 80 % soit CHF 5’600, AVS + LPP estimées CHF 4’200, lacune CHF 1’400/mois en pouvoir d’achat actuel.</w:t>
      </w:r>
    </w:p>
    <w:p>
      <w:pPr>
        <w:pStyle w:val="Heading2"/>
        <w:keepNext/>
      </w:pPr>
      <w:r>
        <w:rPr>
          <w:rFonts w:ascii="Inter" w:hAnsi="Inter"/>
        </w:rPr>
        <w:t>54.2 Trois niveaux de précision</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8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Niveau</w:t>
            </w:r>
          </w:p>
        </w:tc>
        <w:tc>
          <w:tcPr>
            <w:tcW w:type="dxa" w:w="725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Données</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Rapide</w:t>
            </w:r>
          </w:p>
        </w:tc>
        <w:tc>
          <w:tcPr>
            <w:tcW w:type="dxa" w:w="72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âge, salaire, âge de retraite, objectif, inflation</w:t>
            </w:r>
          </w:p>
        </w:tc>
      </w:tr>
      <w:tr>
        <w:trPr>
          <w:cantSplit/>
        </w:trPr>
        <w:tc>
          <w:tcPr>
            <w:tcW w:type="dxa" w:w="238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Intermédiaire</w:t>
            </w:r>
          </w:p>
        </w:tc>
        <w:tc>
          <w:tcPr>
            <w:tcW w:type="dxa" w:w="72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situation familiale, avoir LPP, capital existant, autres 3P, autres revenus</w:t>
            </w:r>
          </w:p>
        </w:tc>
      </w:tr>
      <w:tr>
        <w:trPr>
          <w:cantSplit/>
        </w:trPr>
        <w:tc>
          <w:tcPr>
            <w:tcW w:type="dxa" w:w="238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Précis</w:t>
            </w:r>
          </w:p>
        </w:tc>
        <w:tc>
          <w:tcPr>
            <w:tcW w:type="dxa" w:w="72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upload du certificat LPP et données AVS détaillées</w:t>
            </w:r>
          </w:p>
        </w:tc>
      </w:tr>
    </w:tbl>
    <w:p>
      <w:pPr>
        <w:spacing w:after="0"/>
      </w:pPr>
    </w:p>
    <w:p>
      <w:pPr>
        <w:pStyle w:val="Heading2"/>
        <w:keepNext/>
      </w:pPr>
      <w:r>
        <w:rPr>
          <w:rFonts w:ascii="Inter" w:hAnsi="Inter"/>
        </w:rPr>
        <w:t>54.3 Capital nécessaire</w:t>
      </w:r>
    </w:p>
    <w:p>
      <w:pPr/>
      <w:r>
        <w:rPr>
          <w:rFonts w:ascii="Inter" w:hAnsi="Inter"/>
          <w:i w:val="0"/>
        </w:rPr>
        <w:t>Le moteur prend en compte revenu souhaité, AVS, LPP, lacune, inflation, durée de retraite, rendement du capital pendant la retraite, retraits, indexation et marge de sécurité. Il affiche le capital nécessaire en pouvoir d’achat actuel et le capital nominal nécessaire à l’âge de retraite.</w:t>
      </w:r>
    </w:p>
    <w:p>
      <w:pPr>
        <w:pStyle w:val="Heading1"/>
        <w:keepNext/>
      </w:pPr>
      <w:r>
        <w:rPr>
          <w:rFonts w:ascii="Inter" w:hAnsi="Inter"/>
        </w:rPr>
        <w:t>55. Moteur probabiliste</w:t>
      </w:r>
    </w:p>
    <w:p>
      <w:pPr/>
      <w:r>
        <w:rPr>
          <w:rFonts w:ascii="Inter" w:hAnsi="Inter"/>
          <w:i w:val="0"/>
        </w:rPr>
        <w:t>CoverView ne doit pas écrire « vous aurez CHF 1’000’000 ». Il doit afficher une distribution de résultats possibles. Les méthodes envisageables incluent les périodes historiques glissantes, le moving block bootstrap, les simulations Monte Carlo et des stress tests. La méthode retenue doit être visible et versionnée.</w:t>
      </w:r>
    </w:p>
    <w:p>
      <w:pPr>
        <w:pStyle w:val="CoverViewLead"/>
      </w:pPr>
      <w:r>
        <w:rPr>
          <w:b/>
        </w:rPr>
        <w:t xml:space="preserve">Règle d’affichage probabiliste. </w:t>
      </w:r>
      <w:r>
        <w:t>Afficher une fois, de manière bien visible à proximité des probabilités, une mention telle que « Probabilités basées sur 10’000 simulations Monte-Carlo ». Il n’est pas nécessaire de répéter le nombre de simulations sous chaque Goal Probability, tranche de distribution ou scénario. Si le paramètre est modifié dans Admin, l’interface affiche le nombre réellement utilisé.</w:t>
      </w:r>
    </w:p>
    <w:p>
      <w:pPr>
        <w:keepNext w:val="0"/>
      </w:pPr>
      <w:r>
        <w:t>Extension Retire : la cible de 100’000 trajectoires concerne le moteur de décision décrit en R10. La mention visible reste unique par bloc et affiche N réellement exécuté, qu’il soit de 10’000, 100’000 ou une autre valeur configurée.</w:t>
      </w:r>
    </w:p>
    <w:p>
      <w:pPr>
        <w:pStyle w:val="Heading2"/>
        <w:keepNext/>
      </w:pPr>
      <w:r>
        <w:rPr>
          <w:rFonts w:ascii="Inter" w:hAnsi="Inter"/>
        </w:rPr>
        <w:t>55.1 Fan Chart</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Percentile</w:t>
            </w:r>
          </w:p>
        </w:tc>
        <w:tc>
          <w:tcPr>
            <w:tcW w:type="dxa" w:w="567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P10</w:t>
            </w:r>
          </w:p>
        </w:tc>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480k</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P25</w:t>
            </w:r>
          </w:p>
        </w:tc>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à calculer</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P50 - médiane</w:t>
            </w:r>
          </w:p>
        </w:tc>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1,02M</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P75</w:t>
            </w:r>
          </w:p>
        </w:tc>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à calculer</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P90</w:t>
            </w:r>
          </w:p>
        </w:tc>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2,13M</w:t>
            </w:r>
          </w:p>
        </w:tc>
      </w:tr>
    </w:tbl>
    <w:p>
      <w:pPr>
        <w:spacing w:after="0"/>
      </w:pPr>
    </w:p>
    <w:p>
      <w:pPr>
        <w:pStyle w:val="Heading2"/>
        <w:keepNext/>
      </w:pPr>
      <w:r>
        <w:rPr>
          <w:rFonts w:ascii="Inter" w:hAnsi="Inter"/>
        </w:rPr>
        <w:t>55.2 Distribution des scénarios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5953"/>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Capital final simulé</w:t>
            </w:r>
          </w:p>
        </w:tc>
        <w:tc>
          <w:tcPr>
            <w:tcW w:type="dxa" w:w="368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Probabilité</w:t>
            </w:r>
          </w:p>
        </w:tc>
      </w:tr>
      <w:tr>
        <w:trPr>
          <w:cantSplit/>
        </w:trPr>
        <w:tc>
          <w:tcPr>
            <w:tcW w:type="dxa" w:w="595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&lt; CHF 200k</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0,6 %</w:t>
            </w:r>
          </w:p>
        </w:tc>
      </w:tr>
      <w:tr>
        <w:trPr>
          <w:cantSplit/>
        </w:trPr>
        <w:tc>
          <w:tcPr>
            <w:tcW w:type="dxa" w:w="595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200k-400k</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6,4 %</w:t>
            </w:r>
          </w:p>
        </w:tc>
      </w:tr>
      <w:tr>
        <w:trPr>
          <w:cantSplit/>
        </w:trPr>
        <w:tc>
          <w:tcPr>
            <w:tcW w:type="dxa" w:w="595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400k-600k</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18,7 %</w:t>
            </w:r>
          </w:p>
        </w:tc>
      </w:tr>
      <w:tr>
        <w:trPr>
          <w:cantSplit/>
        </w:trPr>
        <w:tc>
          <w:tcPr>
            <w:tcW w:type="dxa" w:w="595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600k-900k</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37,8 %</w:t>
            </w:r>
          </w:p>
        </w:tc>
      </w:tr>
      <w:tr>
        <w:trPr>
          <w:cantSplit/>
        </w:trPr>
        <w:tc>
          <w:tcPr>
            <w:tcW w:type="dxa" w:w="595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900k-1,3M</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24,1 %</w:t>
            </w:r>
          </w:p>
        </w:tc>
      </w:tr>
      <w:tr>
        <w:trPr>
          <w:cantSplit/>
        </w:trPr>
        <w:tc>
          <w:tcPr>
            <w:tcW w:type="dxa" w:w="595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1,3M-2M</w:t>
            </w:r>
          </w:p>
        </w:tc>
        <w:tc>
          <w:tcPr>
            <w:tcW w:type="dxa" w:w="368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10,9 %</w:t>
            </w:r>
          </w:p>
        </w:tc>
      </w:tr>
      <w:tr>
        <w:trPr>
          <w:cantSplit/>
        </w:trPr>
        <w:tc>
          <w:tcPr>
            <w:tcW w:type="dxa" w:w="595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&gt; CHF 2M</w:t>
            </w:r>
          </w:p>
        </w:tc>
        <w:tc>
          <w:tcPr>
            <w:tcW w:type="dxa" w:w="368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1,5 %</w:t>
            </w:r>
          </w:p>
        </w:tc>
      </w:tr>
    </w:tbl>
    <w:p>
      <w:pPr>
        <w:spacing w:after="0"/>
      </w:pPr>
    </w:p>
    <w:p>
      <w:pPr/>
      <w:r>
        <w:rPr>
          <w:rFonts w:ascii="Inter" w:hAnsi="Inter"/>
          <w:i w:val="0"/>
        </w:rPr>
        <w:t>Les sorties peuvent combiner tableau, histogramme, heatmap horizontale et fan chart. Le tableau et les quantiles doivent rester disponibles pour l’accessibilité et l’explication.</w:t>
      </w:r>
    </w:p>
    <w:p>
      <w:pPr>
        <w:pStyle w:val="Heading1"/>
        <w:keepNext/>
      </w:pPr>
      <w:r>
        <w:rPr>
          <w:rFonts w:ascii="Inter" w:hAnsi="Inter"/>
        </w:rPr>
        <w:t>56. Goal Probability et Retirement Target Age</w:t>
      </w:r>
    </w:p>
    <w:p>
      <w:pPr>
        <w:pStyle w:val="Heading2"/>
        <w:keepNext/>
      </w:pPr>
      <w:r>
        <w:rPr>
          <w:rFonts w:ascii="Inter" w:hAnsi="Inter"/>
        </w:rPr>
        <w:t>56.1 Goal Probability</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18 % des trajectoires modélisées atteignent l’objectif à 65 ans.</w:t>
            </w:r>
          </w:p>
        </w:tc>
      </w:tr>
    </w:tbl>
    <w:p>
      <w:pPr>
        <w:spacing w:after="0"/>
      </w:pPr>
    </w:p>
    <w:p>
      <w:pPr/>
      <w:r>
        <w:rPr>
          <w:rFonts w:ascii="Inter" w:hAnsi="Inter"/>
          <w:i w:val="0"/>
        </w:rPr>
        <w:t>Exemple : objectif CHF 1M ; stratégie actuelle 18 % ; alternative B 64 %. Si aucune trajectoire n’atteint la cible, afficher « &lt;0,1 % » ou « objectif non atteint dans les N scénarios modélisés », et non un 0 % abusif.</w:t>
      </w:r>
    </w:p>
    <w:p>
      <w:pPr>
        <w:pStyle w:val="Heading2"/>
        <w:keepNext/>
      </w:pPr>
      <w:r>
        <w:rPr>
          <w:rFonts w:ascii="Inter" w:hAnsi="Inter"/>
        </w:rPr>
        <w:t>56.2 Target Age probabiliste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Âge</w:t>
            </w:r>
          </w:p>
        </w:tc>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Probabilité d’atteinte</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65 ans</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18 %</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67 ans</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31 %</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69 ans</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44 %</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71 ans</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51 %</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73 ans</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63 %</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75 ans</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72 %</w:t>
            </w:r>
          </w:p>
        </w:tc>
      </w:tr>
    </w:tbl>
    <w:p>
      <w:pPr>
        <w:spacing w:after="0"/>
      </w:pPr>
    </w:p>
    <w:p>
      <w:pPr/>
      <w:r>
        <w:rPr>
          <w:rFonts w:ascii="Inter" w:hAnsi="Inter"/>
          <w:i w:val="0"/>
        </w:rPr>
        <w:t>Avec un niveau de confiance de 50 %, l’âge médian d’atteinte est 71 ans. Si l’utilisateur exige 70 % de probabilité, le Target Age peut passer à 74 ans pour la stratégie actuelle et 67 ans pour une alternative.</w:t>
      </w:r>
    </w:p>
    <w:p>
      <w:pPr>
        <w:pStyle w:val="Heading2"/>
        <w:keepNext/>
      </w:pPr>
      <w:r>
        <w:rPr>
          <w:rFonts w:ascii="Inter" w:hAnsi="Inter"/>
        </w:rPr>
        <w:t>56.3 Définition formelle</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Goal Probability(age) = part des trajectoires dont le capital &gt;= capital cible à cet âge</w:t>
            </w:r>
            <w:r>
              <w:br/>
            </w:r>
            <w:r>
              <w:rPr>
                <w:rFonts w:ascii="DejaVu Sans Mono" w:hAnsi="DejaVu Sans Mono"/>
                <w:color w:val="1A1D2B"/>
                <w:sz w:val="16"/>
              </w:rPr>
              <w:t>Retirement Target Age(confidence) = premier âge où Goal Probability &gt;= confidence</w:t>
            </w:r>
          </w:p>
        </w:tc>
      </w:tr>
    </w:tbl>
    <w:p>
      <w:pPr>
        <w:spacing w:after="0"/>
      </w:pPr>
    </w:p>
    <w:p>
      <w:pPr>
        <w:keepNext w:val="0"/>
      </w:pPr>
      <w:r>
        <w:t>Raccordement Retire : le niveau de confiance de l’âge d’atteinte et la probabilité de maintenir un revenu réel pendant la retraite sont deux métriques différentes. Les résultats Retire conservent leur horizon de vie, leur budget et leur définition de réussite ; ils ne remplacent pas Goal Probability.</w:t>
      </w:r>
    </w:p>
    <w:p>
      <w:pPr>
        <w:pStyle w:val="Heading1"/>
        <w:keepNext/>
      </w:pPr>
      <w:r>
        <w:rPr>
          <w:rFonts w:ascii="Inter" w:hAnsi="Inter"/>
        </w:rPr>
        <w:t>57. Précision et complétude de l’analyse</w:t>
      </w:r>
    </w:p>
    <w:p>
      <w:pPr/>
      <w:r>
        <w:rPr>
          <w:rFonts w:ascii="Inter" w:hAnsi="Inter"/>
          <w:i w:val="0"/>
        </w:rPr>
        <w:t>La précision devient une gamification utile : elle encourage l’utilisateur à fournir les données qui améliorent réellement la qualité.</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567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Donnée ajoutée</w:t>
            </w:r>
          </w:p>
        </w:tc>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Gain illustratif</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Salaire</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+5 %</w:t>
            </w:r>
          </w:p>
        </w:tc>
      </w:tr>
      <w:tr>
        <w:trPr>
          <w:cantSplit/>
        </w:trPr>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Certificat LPP</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+12 %</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Situation AVS</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+6 %</w:t>
            </w:r>
          </w:p>
        </w:tc>
      </w:tr>
      <w:tr>
        <w:trPr>
          <w:cantSplit/>
        </w:trPr>
        <w:tc>
          <w:tcPr>
            <w:tcW w:type="dxa" w:w="567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Autres avoirs</w:t>
            </w:r>
          </w:p>
        </w:tc>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+7 %</w:t>
            </w:r>
          </w:p>
        </w:tc>
      </w:tr>
      <w:tr>
        <w:trPr>
          <w:cantSplit/>
        </w:trPr>
        <w:tc>
          <w:tcPr>
            <w:tcW w:type="dxa" w:w="567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Objectifs détaillés</w:t>
            </w:r>
          </w:p>
        </w:tc>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+4 %</w:t>
            </w:r>
          </w:p>
        </w:tc>
      </w:tr>
    </w:tbl>
    <w:p>
      <w:pPr>
        <w:spacing w:after="0"/>
      </w:pPr>
    </w:p>
    <w:p>
      <w:pPr/>
      <w:r>
        <w:rPr>
          <w:rFonts w:ascii="Inter" w:hAnsi="Inter"/>
          <w:i w:val="0"/>
        </w:rPr>
        <w:t>Ces gains sont des règles produit à calibrer ; ils ne doivent pas être présentés comme une précision statistique scientifique s’ils représentent seulement un score de complétude.</w:t>
      </w:r>
    </w:p>
    <w:p>
      <w:pPr>
        <w:pStyle w:val="Heading1"/>
        <w:keepNext/>
      </w:pPr>
      <w:r>
        <w:rPr>
          <w:rFonts w:ascii="Inter" w:hAnsi="Inter"/>
        </w:rPr>
        <w:t>58. Optimisation et stratégies compatibles</w:t>
      </w:r>
    </w:p>
    <w:p>
      <w:pPr/>
      <w:r>
        <w:rPr>
          <w:rFonts w:ascii="Inter" w:hAnsi="Inter"/>
          <w:i w:val="0"/>
        </w:rPr>
        <w:t>Question : « Peut-on revenir à 65 ans ? ». Le moteur peut répondre : « Oui - 4 stratégies analysées atteignent l’objectif selon les paramètres sélectionnés » ou « Pas avec les paramètres actuels - CHF 83/mois supplémentaires permettraient à trois stratégies de franchir la cible ».</w:t>
      </w:r>
    </w:p>
    <w:p>
      <w:pPr>
        <w:pStyle w:val="Heading2"/>
        <w:keepNext/>
      </w:pPr>
      <w:r>
        <w:rPr>
          <w:rFonts w:ascii="Inter" w:hAnsi="Inter"/>
        </w:rPr>
        <w:t>58.1 Nombre de stratégies compatibles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Cotisation</w:t>
            </w:r>
          </w:p>
        </w:tc>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Stratégies compatibles</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300/mois</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0</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375/mois</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CHF 450/mois</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w:t>
            </w:r>
          </w:p>
        </w:tc>
      </w:tr>
    </w:tbl>
    <w:p>
      <w:pPr>
        <w:spacing w:after="0"/>
      </w:pPr>
    </w:p>
    <w:p>
      <w:pPr/>
      <w:r>
        <w:rPr>
          <w:rFonts w:ascii="Inter" w:hAnsi="Inter"/>
          <w:i w:val="0"/>
        </w:rPr>
        <w:t>La compatibilité dépend aussi de l’inflation, de l’âge, du revenu souhaité, du niveau de confiance, du risque acceptable et des contraintes contractuelles.</w:t>
      </w:r>
    </w:p>
    <w:p>
      <w:pPr>
        <w:pStyle w:val="Heading1"/>
        <w:keepNext/>
      </w:pPr>
      <w:r>
        <w:rPr>
          <w:rFonts w:ascii="Inter" w:hAnsi="Inter"/>
        </w:rPr>
        <w:t>59. Strategy Finder et comparateur</w:t>
      </w:r>
    </w:p>
    <w:p>
      <w:pPr/>
      <w:r>
        <w:rPr>
          <w:rFonts w:ascii="Inter" w:hAnsi="Inter"/>
          <w:i w:val="0"/>
        </w:rPr>
        <w:t>Le Strategy Finder ne doit pas devenir un catalogue de cinquante produits. Il répond à : « Quelle stratégie donne à mon projet les meilleures chances d’aboutir ? ». Le produit est un composant de la stratégie, pas l’unique objet de comparaison.</w:t>
      </w:r>
    </w:p>
    <w:p>
      <w:pPr>
        <w:pStyle w:val="Heading2"/>
        <w:keepNext/>
      </w:pPr>
      <w:r>
        <w:rPr>
          <w:rFonts w:ascii="Inter" w:hAnsi="Inter"/>
        </w:rPr>
        <w:t>59.1 Comparaison simplifiée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40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Stratégie</w:t>
            </w:r>
          </w:p>
        </w:tc>
        <w:tc>
          <w:tcPr>
            <w:tcW w:type="dxa" w:w="328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Retirement Target Age</w:t>
            </w:r>
          </w:p>
        </w:tc>
        <w:tc>
          <w:tcPr>
            <w:tcW w:type="dxa" w:w="294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Goal Probability</w:t>
            </w:r>
          </w:p>
        </w:tc>
      </w:tr>
      <w:tr>
        <w:trPr>
          <w:cantSplit/>
        </w:trPr>
        <w:tc>
          <w:tcPr>
            <w:tcW w:type="dxa" w:w="340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Actuelle</w:t>
            </w:r>
          </w:p>
        </w:tc>
        <w:tc>
          <w:tcPr>
            <w:tcW w:type="dxa" w:w="328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71 ans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18 %</w:t>
            </w:r>
          </w:p>
        </w:tc>
      </w:tr>
      <w:tr>
        <w:trPr>
          <w:cantSplit/>
        </w:trPr>
        <w:tc>
          <w:tcPr>
            <w:tcW w:type="dxa" w:w="340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Alternative A</w:t>
            </w:r>
          </w:p>
        </w:tc>
        <w:tc>
          <w:tcPr>
            <w:tcW w:type="dxa" w:w="328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65 ans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54 %</w:t>
            </w:r>
          </w:p>
        </w:tc>
      </w:tr>
      <w:tr>
        <w:trPr>
          <w:cantSplit/>
        </w:trPr>
        <w:tc>
          <w:tcPr>
            <w:tcW w:type="dxa" w:w="340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Alternative B</w:t>
            </w:r>
          </w:p>
        </w:tc>
        <w:tc>
          <w:tcPr>
            <w:tcW w:type="dxa" w:w="328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63 ans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68 %</w:t>
            </w:r>
          </w:p>
        </w:tc>
      </w:tr>
      <w:tr>
        <w:trPr>
          <w:cantSplit/>
        </w:trPr>
        <w:tc>
          <w:tcPr>
            <w:tcW w:type="dxa" w:w="340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Alternative C</w:t>
            </w:r>
          </w:p>
        </w:tc>
        <w:tc>
          <w:tcPr>
            <w:tcW w:type="dxa" w:w="328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66 ans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49 %</w:t>
            </w:r>
          </w:p>
        </w:tc>
      </w:tr>
    </w:tbl>
    <w:p>
      <w:pPr>
        <w:spacing w:after="0"/>
      </w:pPr>
    </w:p>
    <w:p>
      <w:pPr>
        <w:pStyle w:val="Heading2"/>
        <w:keepNext/>
      </w:pPr>
      <w:r>
        <w:rPr>
          <w:rFonts w:ascii="Inter" w:hAnsi="Inter"/>
        </w:rPr>
        <w:t>59.2 Comparaison détaillée</w:t>
      </w:r>
    </w:p>
    <w:p>
      <w:pPr>
        <w:pStyle w:val="ListBullet"/>
        <w:spacing w:after="50"/>
        <w:ind w:left="312" w:hanging="102"/>
      </w:pPr>
      <w:r>
        <w:rPr>
          <w:rFonts w:ascii="Inter" w:hAnsi="Inter"/>
        </w:rPr>
        <w:t>Target Age, Goal Probability, capital médian, P10 et P90 ;</w:t>
      </w:r>
    </w:p>
    <w:p>
      <w:pPr>
        <w:pStyle w:val="ListBullet"/>
        <w:spacing w:after="50"/>
        <w:ind w:left="312" w:hanging="102"/>
      </w:pPr>
      <w:r>
        <w:rPr>
          <w:rFonts w:ascii="Inter" w:hAnsi="Inter"/>
        </w:rPr>
        <w:t>rendement historique, volatilité, drawdown et stress tests ;</w:t>
      </w:r>
    </w:p>
    <w:p>
      <w:pPr>
        <w:pStyle w:val="ListBullet"/>
        <w:spacing w:after="50"/>
        <w:ind w:left="312" w:hanging="102"/>
      </w:pPr>
      <w:r>
        <w:rPr>
          <w:rFonts w:ascii="Inter" w:hAnsi="Inter"/>
        </w:rPr>
        <w:t>frais, diversification, flexibilité et univers de fonds ;</w:t>
      </w:r>
    </w:p>
    <w:p>
      <w:pPr>
        <w:pStyle w:val="ListBullet"/>
        <w:spacing w:after="50"/>
        <w:ind w:left="312" w:hanging="102"/>
      </w:pPr>
      <w:r>
        <w:rPr>
          <w:rFonts w:ascii="Inter" w:hAnsi="Inter"/>
        </w:rPr>
        <w:t>garanties, capital décès et libération des primes ;</w:t>
      </w:r>
    </w:p>
    <w:p>
      <w:pPr>
        <w:pStyle w:val="ListBullet"/>
        <w:spacing w:after="50"/>
        <w:ind w:left="312" w:hanging="102"/>
      </w:pPr>
      <w:r>
        <w:rPr>
          <w:rFonts w:ascii="Inter" w:hAnsi="Inter"/>
        </w:rPr>
        <w:t>suivi CoverView et capacité d’adaptation.</w:t>
      </w:r>
    </w:p>
    <w:p>
      <w:pPr>
        <w:pStyle w:val="Heading2"/>
        <w:keepNext/>
      </w:pPr>
      <w:r>
        <w:rPr>
          <w:rFonts w:ascii="Inter" w:hAnsi="Inter"/>
        </w:rPr>
        <w:t>59.3 Duel gamifié</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96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Critère</w:t>
            </w:r>
          </w:p>
        </w:tc>
        <w:tc>
          <w:tcPr>
            <w:tcW w:type="dxa" w:w="283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Ton 3P</w:t>
            </w:r>
          </w:p>
        </w:tc>
        <w:tc>
          <w:tcPr>
            <w:tcW w:type="dxa" w:w="283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Alternative B</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Performance</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7,4</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11,8</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Frais</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2,1</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1,7</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Diversification</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61</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84</w:t>
            </w:r>
          </w:p>
        </w:tc>
      </w:tr>
      <w:tr>
        <w:trPr>
          <w:cantSplit/>
        </w:trPr>
        <w:tc>
          <w:tcPr>
            <w:tcW w:type="dxa" w:w="396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Goal Probability</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18 %</w:t>
            </w:r>
          </w:p>
        </w:tc>
        <w:tc>
          <w:tcPr>
            <w:tcW w:type="dxa" w:w="283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64 %</w:t>
            </w:r>
          </w:p>
        </w:tc>
      </w:tr>
      <w:tr>
        <w:trPr>
          <w:cantSplit/>
        </w:trPr>
        <w:tc>
          <w:tcPr>
            <w:tcW w:type="dxa" w:w="396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Age</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71</w:t>
            </w:r>
          </w:p>
        </w:tc>
        <w:tc>
          <w:tcPr>
            <w:tcW w:type="dxa" w:w="283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63</w:t>
            </w:r>
          </w:p>
        </w:tc>
      </w:tr>
    </w:tbl>
    <w:p>
      <w:pPr>
        <w:spacing w:after="0"/>
      </w:pPr>
    </w:p>
    <w:p>
      <w:pPr>
        <w:pStyle w:val="Heading1"/>
        <w:keepNext/>
      </w:pPr>
      <w:r>
        <w:rPr>
          <w:rFonts w:ascii="Inter" w:hAnsi="Inter"/>
        </w:rPr>
        <w:t>60. Full Audit</w:t>
      </w:r>
    </w:p>
    <w:p>
      <w:pPr/>
      <w:r>
        <w:rPr>
          <w:rFonts w:ascii="Inter" w:hAnsi="Inter"/>
          <w:i w:val="0"/>
        </w:rPr>
        <w:t>Le Wrapped apporte l’émotion. L’Audit montre la profondeur réelle. Sections :</w:t>
      </w:r>
    </w:p>
    <w:p>
      <w:pPr>
        <w:pStyle w:val="ListBullet"/>
        <w:spacing w:after="50"/>
        <w:ind w:left="312" w:hanging="102"/>
      </w:pPr>
      <w:r>
        <w:rPr>
          <w:rFonts w:ascii="Inter" w:hAnsi="Inter"/>
        </w:rPr>
        <w:t>contrat, allocation et fonds ;</w:t>
      </w:r>
    </w:p>
    <w:p>
      <w:pPr>
        <w:pStyle w:val="ListBullet"/>
        <w:spacing w:after="50"/>
        <w:ind w:left="312" w:hanging="102"/>
      </w:pPr>
      <w:r>
        <w:rPr>
          <w:rFonts w:ascii="Inter" w:hAnsi="Inter"/>
        </w:rPr>
        <w:t>performance, benchmark, frais, risque et diversification ;</w:t>
      </w:r>
    </w:p>
    <w:p>
      <w:pPr>
        <w:pStyle w:val="ListBullet"/>
        <w:spacing w:after="50"/>
        <w:ind w:left="312" w:hanging="102"/>
      </w:pPr>
      <w:r>
        <w:rPr>
          <w:rFonts w:ascii="Inter" w:hAnsi="Inter"/>
        </w:rPr>
        <w:t>protections, flexibilité et Strategy Freshness ;</w:t>
      </w:r>
    </w:p>
    <w:p>
      <w:pPr>
        <w:pStyle w:val="ListBullet"/>
        <w:spacing w:after="50"/>
        <w:ind w:left="312" w:hanging="102"/>
      </w:pPr>
      <w:r>
        <w:rPr>
          <w:rFonts w:ascii="Inter" w:hAnsi="Inter"/>
        </w:rPr>
        <w:t>inflation, hypothèses et capital cible ;</w:t>
      </w:r>
    </w:p>
    <w:p>
      <w:pPr>
        <w:pStyle w:val="ListBullet"/>
        <w:spacing w:after="50"/>
        <w:ind w:left="312" w:hanging="102"/>
      </w:pPr>
      <w:r>
        <w:rPr>
          <w:rFonts w:ascii="Inter" w:hAnsi="Inter"/>
        </w:rPr>
        <w:t>Fan Chart, distribution, Goal Probability et Target Age ;</w:t>
      </w:r>
    </w:p>
    <w:p>
      <w:pPr>
        <w:pStyle w:val="ListBullet"/>
        <w:spacing w:after="50"/>
        <w:ind w:left="312" w:hanging="102"/>
      </w:pPr>
      <w:r>
        <w:rPr>
          <w:rFonts w:ascii="Inter" w:hAnsi="Inter"/>
        </w:rPr>
        <w:t>stress tests et alternatives ;</w:t>
      </w:r>
    </w:p>
    <w:p>
      <w:pPr>
        <w:pStyle w:val="ListBullet"/>
        <w:spacing w:after="50"/>
        <w:ind w:left="312" w:hanging="102"/>
      </w:pPr>
      <w:r>
        <w:rPr>
          <w:rFonts w:ascii="Inter" w:hAnsi="Inter"/>
        </w:rPr>
        <w:t>sources, limites et validation.</w:t>
      </w:r>
    </w:p>
    <w:p>
      <w:pPr>
        <w:pStyle w:val="Heading1"/>
        <w:keepNext/>
      </w:pPr>
      <w:r>
        <w:rPr>
          <w:rFonts w:ascii="Inter" w:hAnsi="Inter"/>
        </w:rPr>
        <w:t>61. Viralité et partage</w:t>
      </w:r>
    </w:p>
    <w:p>
      <w:pPr>
        <w:pStyle w:val="Heading2"/>
        <w:keepNext/>
      </w:pPr>
      <w:r>
        <w:rPr>
          <w:rFonts w:ascii="Inter" w:hAnsi="Inter"/>
        </w:rPr>
        <w:t>61.1 Wrapped individuel</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Information partageable</w:t>
            </w:r>
          </w:p>
        </w:tc>
        <w:tc>
          <w:tcPr>
            <w:tcW w:type="dxa" w:w="4819"/>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Profil</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THE FUTURIST</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Investment Age</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2018</w:t>
            </w:r>
          </w:p>
        </w:tc>
      </w:tr>
      <w:tr>
        <w:trPr>
          <w:cantSplit/>
        </w:trPr>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 Score</w:t>
            </w:r>
          </w:p>
        </w:tc>
        <w:tc>
          <w:tcPr>
            <w:tcW w:type="dxa" w:w="4819"/>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82 / 100</w:t>
            </w:r>
          </w:p>
        </w:tc>
      </w:tr>
      <w:tr>
        <w:trPr>
          <w:cantSplit/>
        </w:trPr>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Target Age</w:t>
            </w:r>
          </w:p>
        </w:tc>
        <w:tc>
          <w:tcPr>
            <w:tcW w:type="dxa" w:w="4819"/>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63 ans</w:t>
            </w:r>
          </w:p>
        </w:tc>
      </w:tr>
    </w:tbl>
    <w:p>
      <w:pPr>
        <w:spacing w:after="0"/>
      </w:pPr>
    </w:p>
    <w:p>
      <w:pPr/>
      <w:r>
        <w:rPr>
          <w:rFonts w:ascii="Inter" w:hAnsi="Inter"/>
          <w:i w:val="0"/>
        </w:rPr>
        <w:t>Par défaut, ne jamais partager salaire, capital, cotisation, patrimoine, numéro de contrat ou données personnelles sensibles. La page publique est créée à partir d’une whitelist explicite, possède un token révocable et affiche sa date de génération.</w:t>
      </w:r>
    </w:p>
    <w:p>
      <w:pPr>
        <w:pStyle w:val="Heading2"/>
        <w:keepNext/>
      </w:pPr>
      <w:r>
        <w:rPr>
          <w:rFonts w:ascii="Inter" w:hAnsi="Inter"/>
        </w:rPr>
        <w:t>61.2 3P Challenge</w:t>
      </w:r>
    </w:p>
    <w:p>
      <w:pPr/>
      <w:r>
        <w:rPr>
          <w:rFonts w:ascii="Inter" w:hAnsi="Inter"/>
          <w:i w:val="0"/>
        </w:rPr>
        <w:t>Exemple : « Sébastien 78 vs Julie 84 - JULIE WINS ». Le challenge compare uniquement des métriques autorisées et ne doit pas détourner du parcours principal.</w:t>
      </w:r>
    </w:p>
    <w:p>
      <w:pPr>
        <w:pStyle w:val="Heading2"/>
        <w:keepNext/>
      </w:pPr>
      <w:r>
        <w:rPr>
          <w:rFonts w:ascii="Inter" w:hAnsi="Inter"/>
        </w:rPr>
        <w:t>61.3 Group Wrapped</w:t>
      </w:r>
    </w:p>
    <w:p>
      <w:pPr/>
      <w:r>
        <w:rPr>
          <w:rFonts w:ascii="Inter" w:hAnsi="Inter"/>
          <w:i w:val="0"/>
        </w:rPr>
        <w:t>Famille, amis ou collègues : meilleur score, Investment Age le plus récent, plus gros potentiel d’amélioration. À construire uniquement après validation de l’usage individuel et des règles de confidentialité.</w:t>
      </w:r>
    </w:p>
    <w:p>
      <w:pPr>
        <w:pStyle w:val="Heading2"/>
        <w:keepNext/>
      </w:pPr>
      <w:r>
        <w:rPr>
          <w:rFonts w:ascii="Inter" w:hAnsi="Inter"/>
        </w:rPr>
        <w:t>61.4 Roast my 3P</w:t>
      </w:r>
    </w:p>
    <w:p>
      <w:pPr/>
      <w:r>
        <w:rPr>
          <w:rFonts w:ascii="Inter" w:hAnsi="Inter"/>
          <w:i w:val="0"/>
        </w:rPr>
        <w:t>Mode secondaire d’acquisition. Exemple : « Ton allocation était probablement très tendance à l’époque de MSN Messenger. » L’humour est suivi d’une analyse sérieuse et ne doit pas humilier.</w:t>
      </w:r>
    </w:p>
    <w:p>
      <w:pPr>
        <w:pStyle w:val="Heading1"/>
        <w:keepNext/>
      </w:pPr>
      <w:r>
        <w:rPr>
          <w:rFonts w:ascii="Inter" w:hAnsi="Inter"/>
        </w:rPr>
        <w:t>62. RPG médiéval pixel : mode bonus</w:t>
      </w:r>
    </w:p>
    <w:p>
      <w:pPr/>
      <w:r>
        <w:rPr>
          <w:rFonts w:ascii="Inter" w:hAnsi="Inter"/>
          <w:i w:val="0"/>
        </w:rPr>
        <w:t>Le RPG n’est pas le funnel principal. Il est accessible via « Voir votre retraite autrement » ou « Construire mon royaume ». Le Retirement World devient un environnement persistant et plus narratif.</w:t>
      </w:r>
    </w:p>
    <w:p>
      <w:pPr>
        <w:pStyle w:val="Heading2"/>
        <w:keepNext/>
      </w:pPr>
      <w:r>
        <w:rPr>
          <w:rFonts w:ascii="Inter" w:hAnsi="Inter"/>
        </w:rPr>
        <w:t>62.1 Métaphores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25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Élément</w:t>
            </w:r>
          </w:p>
        </w:tc>
        <w:tc>
          <w:tcPr>
            <w:tcW w:type="dxa" w:w="538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Signification</w:t>
            </w:r>
          </w:p>
        </w:tc>
      </w:tr>
      <w:tr>
        <w:trPr>
          <w:cantSplit/>
        </w:trPr>
        <w:tc>
          <w:tcPr>
            <w:tcW w:type="dxa" w:w="425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Château</w:t>
            </w:r>
          </w:p>
        </w:tc>
        <w:tc>
          <w:tcPr>
            <w:tcW w:type="dxa" w:w="538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Capital</w:t>
            </w:r>
          </w:p>
        </w:tc>
      </w:tr>
      <w:tr>
        <w:trPr>
          <w:cantSplit/>
        </w:trPr>
        <w:tc>
          <w:tcPr>
            <w:tcW w:type="dxa" w:w="425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Coffre</w:t>
            </w:r>
          </w:p>
        </w:tc>
        <w:tc>
          <w:tcPr>
            <w:tcW w:type="dxa" w:w="538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3P</w:t>
            </w:r>
          </w:p>
        </w:tc>
      </w:tr>
      <w:tr>
        <w:trPr>
          <w:cantSplit/>
        </w:trPr>
        <w:tc>
          <w:tcPr>
            <w:tcW w:type="dxa" w:w="425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Remparts</w:t>
            </w:r>
          </w:p>
        </w:tc>
        <w:tc>
          <w:tcPr>
            <w:tcW w:type="dxa" w:w="538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Protections</w:t>
            </w:r>
          </w:p>
        </w:tc>
      </w:tr>
      <w:tr>
        <w:trPr>
          <w:cantSplit/>
        </w:trPr>
        <w:tc>
          <w:tcPr>
            <w:tcW w:type="dxa" w:w="425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Personnage</w:t>
            </w:r>
          </w:p>
        </w:tc>
        <w:tc>
          <w:tcPr>
            <w:tcW w:type="dxa" w:w="538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Situation</w:t>
            </w:r>
          </w:p>
        </w:tc>
      </w:tr>
      <w:tr>
        <w:trPr>
          <w:cantSplit/>
        </w:trPr>
        <w:tc>
          <w:tcPr>
            <w:tcW w:type="dxa" w:w="425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Météo</w:t>
            </w:r>
          </w:p>
        </w:tc>
        <w:tc>
          <w:tcPr>
            <w:tcW w:type="dxa" w:w="538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Sécurité globale</w:t>
            </w:r>
          </w:p>
        </w:tc>
      </w:tr>
      <w:tr>
        <w:trPr>
          <w:cantSplit/>
        </w:trPr>
        <w:tc>
          <w:tcPr>
            <w:tcW w:type="dxa" w:w="425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Inflation</w:t>
            </w:r>
          </w:p>
        </w:tc>
        <w:tc>
          <w:tcPr>
            <w:tcW w:type="dxa" w:w="538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Force grandissante du défi retraite</w:t>
            </w:r>
          </w:p>
        </w:tc>
      </w:tr>
    </w:tbl>
    <w:p>
      <w:pPr>
        <w:spacing w:after="0"/>
      </w:pPr>
    </w:p>
    <w:p>
      <w:pPr>
        <w:pStyle w:val="Heading2"/>
        <w:keepNext/>
      </w:pPr>
      <w:r>
        <w:rPr>
          <w:rFonts w:ascii="Inter" w:hAnsi="Inter"/>
        </w:rPr>
        <w:t>62.2 Boss retraite</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BOSS FINAL : LA RETRAITE</w:t>
            </w:r>
            <w:r>
              <w:br/>
            </w:r>
            <w:r>
              <w:rPr>
                <w:rFonts w:ascii="DejaVu Sans Mono" w:hAnsi="DejaVu Sans Mono"/>
                <w:color w:val="1A1D2B"/>
                <w:sz w:val="16"/>
              </w:rPr>
              <w:t>HP : capital nécessaire, par exemple 487’000</w:t>
            </w:r>
            <w:r>
              <w:br/>
            </w:r>
            <w:r>
              <w:rPr>
                <w:rFonts w:ascii="DejaVu Sans Mono" w:hAnsi="DejaVu Sans Mono"/>
                <w:color w:val="1A1D2B"/>
                <w:sz w:val="16"/>
              </w:rPr>
              <w:t>Capital projeté : 361’000 dégâts</w:t>
            </w:r>
            <w:r>
              <w:br/>
            </w:r>
            <w:r>
              <w:rPr>
                <w:rFonts w:ascii="DejaVu Sans Mono" w:hAnsi="DejaVu Sans Mono"/>
                <w:color w:val="1A1D2B"/>
                <w:sz w:val="16"/>
              </w:rPr>
              <w:t>Boss restant : 126’000 HP</w:t>
            </w:r>
            <w:r>
              <w:br/>
            </w:r>
            <w:r>
              <w:rPr>
                <w:rFonts w:ascii="DejaVu Sans Mono" w:hAnsi="DejaVu Sans Mono"/>
                <w:color w:val="1A1D2B"/>
                <w:sz w:val="16"/>
              </w:rPr>
              <w:t>Résultat : trajectoire actuelle insuffisante</w:t>
            </w:r>
          </w:p>
        </w:tc>
      </w:tr>
    </w:tbl>
    <w:p>
      <w:pPr>
        <w:spacing w:after="0"/>
      </w:pPr>
    </w:p>
    <w:p>
      <w:pPr>
        <w:pStyle w:val="Heading2"/>
        <w:keepNext/>
      </w:pPr>
      <w:r>
        <w:rPr>
          <w:rFonts w:ascii="Inter" w:hAnsi="Inter"/>
        </w:rPr>
        <w:t>62.3 Classes, équipements et builds</w:t>
      </w:r>
    </w:p>
    <w:p>
      <w:pPr>
        <w:pStyle w:val="ListBullet"/>
        <w:spacing w:after="50"/>
        <w:ind w:left="312" w:hanging="102"/>
      </w:pPr>
      <w:r>
        <w:rPr>
          <w:rFonts w:ascii="Inter" w:hAnsi="Inter"/>
        </w:rPr>
        <w:t>Gardien : allocation défensive ; Chevalier : équilibrée ; Berserker : croissance ; Technomancien : tech ; Explorateur : diversifiée.</w:t>
      </w:r>
    </w:p>
    <w:p>
      <w:pPr>
        <w:pStyle w:val="ListBullet"/>
        <w:spacing w:after="50"/>
        <w:ind w:left="312" w:hanging="102"/>
      </w:pPr>
      <w:r>
        <w:rPr>
          <w:rFonts w:ascii="Inter" w:hAnsi="Inter"/>
        </w:rPr>
        <w:t>Bouclier de continuité : libération des primes ; Protection des héritiers : capital décès ; arme principale : allocation ; armure : garanties.</w:t>
      </w:r>
    </w:p>
    <w:p>
      <w:pPr>
        <w:pStyle w:val="ListBullet"/>
        <w:spacing w:after="50"/>
        <w:ind w:left="312" w:hanging="102"/>
      </w:pPr>
      <w:r>
        <w:rPr>
          <w:rFonts w:ascii="Inter" w:hAnsi="Inter"/>
        </w:rPr>
        <w:t>Build actuel LVL 58 ; Alternative A LVL 74 ; Alternative B LVL 82.</w:t>
      </w:r>
    </w:p>
    <w:p>
      <w:pPr>
        <w:pStyle w:val="ListBullet"/>
        <w:spacing w:after="50"/>
        <w:ind w:left="312" w:hanging="102"/>
      </w:pPr>
      <w:r>
        <w:rPr>
          <w:rFonts w:ascii="Inter" w:hAnsi="Inter"/>
        </w:rPr>
        <w:t>Message : « 4 configurations ont suffisamment de potentiel modélisé pour vaincre votre boss retraite ».</w:t>
      </w:r>
    </w:p>
    <w:p>
      <w:pPr>
        <w:pStyle w:val="Heading1"/>
        <w:keepNext/>
      </w:pPr>
      <w:r>
        <w:rPr>
          <w:rFonts w:ascii="Inter" w:hAnsi="Inter"/>
        </w:rPr>
        <w:t>63. Site vers Wallet</w:t>
      </w:r>
    </w:p>
    <w:p>
      <w:pPr/>
      <w:r>
        <w:rPr>
          <w:rFonts w:ascii="Inter" w:hAnsi="Inter"/>
          <w:i w:val="0"/>
        </w:rPr>
        <w:t>Après l’analyse : « Sauvegarder votre analyse et suivre son évolution ». CTA : « Ajouter à mon Wallet ». Après email/OTP, Wallet s’ouvre avec le contrat, le document, les paramètres, les résultats, les projections et l’historique déjà présents.</w:t>
      </w:r>
    </w:p>
    <w:p>
      <w:pPr>
        <w:pStyle w:val="ListBullet"/>
        <w:spacing w:after="50"/>
        <w:ind w:left="312" w:hanging="102"/>
      </w:pPr>
      <w:r>
        <w:rPr>
          <w:rFonts w:ascii="Inter" w:hAnsi="Inter"/>
        </w:rPr>
        <w:t>pas de nouvel upload ;</w:t>
      </w:r>
    </w:p>
    <w:p>
      <w:pPr>
        <w:pStyle w:val="ListBullet"/>
        <w:spacing w:after="50"/>
        <w:ind w:left="312" w:hanging="102"/>
      </w:pPr>
      <w:r>
        <w:rPr>
          <w:rFonts w:ascii="Inter" w:hAnsi="Inter"/>
        </w:rPr>
        <w:t>pas de formulaire à refaire ;</w:t>
      </w:r>
    </w:p>
    <w:p>
      <w:pPr>
        <w:pStyle w:val="ListBullet"/>
        <w:spacing w:after="50"/>
        <w:ind w:left="312" w:hanging="102"/>
      </w:pPr>
      <w:r>
        <w:rPr>
          <w:rFonts w:ascii="Inter" w:hAnsi="Inter"/>
        </w:rPr>
        <w:t>même identifiant d’analyse ;</w:t>
      </w:r>
    </w:p>
    <w:p>
      <w:pPr>
        <w:pStyle w:val="ListBullet"/>
        <w:spacing w:after="50"/>
        <w:ind w:left="312" w:hanging="102"/>
      </w:pPr>
      <w:r>
        <w:rPr>
          <w:rFonts w:ascii="Inter" w:hAnsi="Inter"/>
        </w:rPr>
        <w:t>même snapshot ;</w:t>
      </w:r>
    </w:p>
    <w:p>
      <w:pPr>
        <w:pStyle w:val="ListBullet"/>
        <w:spacing w:after="50"/>
        <w:ind w:left="312" w:hanging="102"/>
      </w:pPr>
      <w:r>
        <w:rPr>
          <w:rFonts w:ascii="Inter" w:hAnsi="Inter"/>
        </w:rPr>
        <w:t>possibilité de reprendre exactement à l’étape suivante.</w:t>
      </w:r>
    </w:p>
    <w:p>
      <w:pPr>
        <w:pStyle w:val="Heading2"/>
        <w:keepNext/>
      </w:pPr>
      <w:r>
        <w:rPr>
          <w:rFonts w:ascii="Inter" w:hAnsi="Inter"/>
        </w:rPr>
        <w:t>63.1 Reveal dans Wallet</w:t>
      </w:r>
    </w:p>
    <w:p>
      <w:pPr/>
      <w:r>
        <w:rPr>
          <w:rFonts w:ascii="Inter" w:hAnsi="Inter"/>
          <w:i w:val="0"/>
        </w:rPr>
        <w:t>Lorsqu’une nouvelle analyse est terminée : « Votre analyse est prête » -&gt; « Voir mon Reveal » -&gt; « Voir l’analyse complète ». La même narration Stories est réutilisée.</w:t>
      </w:r>
    </w:p>
    <w:p>
      <w:pPr>
        <w:pStyle w:val="Heading1"/>
        <w:keepNext/>
      </w:pPr>
      <w:r>
        <w:rPr>
          <w:rFonts w:ascii="Inter" w:hAnsi="Inter"/>
        </w:rPr>
        <w:t>64. Rétention dans Wallet</w:t>
      </w:r>
    </w:p>
    <w:p>
      <w:pPr>
        <w:pStyle w:val="Heading2"/>
        <w:keepNext/>
      </w:pPr>
      <w:r>
        <w:rPr>
          <w:rFonts w:ascii="Inter" w:hAnsi="Inter"/>
        </w:rPr>
        <w:t>64.1 Wrapped annuel</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70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Métrique</w:t>
            </w:r>
          </w:p>
        </w:tc>
        <w:tc>
          <w:tcPr>
            <w:tcW w:type="dxa" w:w="4932"/>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Évolution exemple</w:t>
            </w:r>
          </w:p>
        </w:tc>
      </w:tr>
      <w:tr>
        <w:trPr>
          <w:cantSplit/>
        </w:trPr>
        <w:tc>
          <w:tcPr>
            <w:tcW w:type="dxa" w:w="470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 Score</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67 -&gt; 73</w:t>
            </w:r>
          </w:p>
        </w:tc>
      </w:tr>
      <w:tr>
        <w:trPr>
          <w:cantSplit/>
        </w:trPr>
        <w:tc>
          <w:tcPr>
            <w:tcW w:type="dxa" w:w="470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Goal Probability</w:t>
            </w:r>
          </w:p>
        </w:tc>
        <w:tc>
          <w:tcPr>
            <w:tcW w:type="dxa" w:w="493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61 % -&gt; 68 %</w:t>
            </w:r>
          </w:p>
        </w:tc>
      </w:tr>
      <w:tr>
        <w:trPr>
          <w:cantSplit/>
        </w:trPr>
        <w:tc>
          <w:tcPr>
            <w:tcW w:type="dxa" w:w="470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Target Age</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67 -&gt; 65 ans</w:t>
            </w:r>
          </w:p>
        </w:tc>
      </w:tr>
      <w:tr>
        <w:trPr>
          <w:cantSplit/>
        </w:trPr>
        <w:tc>
          <w:tcPr>
            <w:tcW w:type="dxa" w:w="470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Allocation</w:t>
            </w:r>
          </w:p>
        </w:tc>
        <w:tc>
          <w:tcPr>
            <w:tcW w:type="dxa" w:w="4932"/>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 modification</w:t>
            </w:r>
          </w:p>
        </w:tc>
      </w:tr>
      <w:tr>
        <w:trPr>
          <w:cantSplit/>
        </w:trPr>
        <w:tc>
          <w:tcPr>
            <w:tcW w:type="dxa" w:w="470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Nouvelle opportunité</w:t>
            </w:r>
          </w:p>
        </w:tc>
        <w:tc>
          <w:tcPr>
            <w:tcW w:type="dxa" w:w="4932"/>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1 identifiée</w:t>
            </w:r>
          </w:p>
        </w:tc>
      </w:tr>
    </w:tbl>
    <w:p>
      <w:pPr>
        <w:spacing w:after="0"/>
      </w:pPr>
    </w:p>
    <w:p>
      <w:pPr>
        <w:pStyle w:val="Heading2"/>
        <w:keepNext/>
      </w:pPr>
      <w:r>
        <w:rPr>
          <w:rFonts w:ascii="Inter" w:hAnsi="Inter"/>
        </w:rPr>
        <w:t>64.2 Royaume persistant</w:t>
      </w:r>
    </w:p>
    <w:p>
      <w:pPr/>
      <w:r>
        <w:rPr>
          <w:rFonts w:ascii="Inter" w:hAnsi="Inter"/>
          <w:i w:val="0"/>
        </w:rPr>
        <w:t>La scène peut évoluer réellement : 2026 petite propriété, 2028 maison importante, 2031 domaine, 2035 château. L’évolution dépend du capital, des cotisations, de la stratégie, des projections, de la Goal Probability et de l’objectif.</w:t>
      </w:r>
    </w:p>
    <w:p>
      <w:pPr>
        <w:pStyle w:val="Heading2"/>
        <w:keepNext/>
      </w:pPr>
      <w:r>
        <w:rPr>
          <w:rFonts w:ascii="Inter" w:hAnsi="Inter"/>
        </w:rPr>
        <w:t>64.3 Health Check annuel</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2027 STRATEGY CHECK</w:t>
            </w:r>
            <w:r>
              <w:br/>
            </w:r>
            <w:r>
              <w:rPr>
                <w:rFonts w:ascii="DejaVu Sans Mono" w:hAnsi="DejaVu Sans Mono"/>
                <w:color w:val="1A1D2B"/>
                <w:sz w:val="16"/>
              </w:rPr>
              <w:t>Allocation ✓ cohérente</w:t>
            </w:r>
            <w:r>
              <w:br/>
            </w:r>
            <w:r>
              <w:rPr>
                <w:rFonts w:ascii="DejaVu Sans Mono" w:hAnsi="DejaVu Sans Mono"/>
                <w:color w:val="1A1D2B"/>
                <w:sz w:val="16"/>
              </w:rPr>
              <w:t>Risque ✓ adapté</w:t>
            </w:r>
            <w:r>
              <w:br/>
            </w:r>
            <w:r>
              <w:rPr>
                <w:rFonts w:ascii="DejaVu Sans Mono" w:hAnsi="DejaVu Sans Mono"/>
                <w:color w:val="1A1D2B"/>
                <w:sz w:val="16"/>
              </w:rPr>
              <w:t>Frais ✓</w:t>
            </w:r>
            <w:r>
              <w:br/>
            </w:r>
            <w:r>
              <w:rPr>
                <w:rFonts w:ascii="DejaVu Sans Mono" w:hAnsi="DejaVu Sans Mono"/>
                <w:color w:val="1A1D2B"/>
                <w:sz w:val="16"/>
              </w:rPr>
              <w:t>Goal Probability 61 -&gt; 66 %</w:t>
            </w:r>
            <w:r>
              <w:br/>
            </w:r>
            <w:r>
              <w:rPr>
                <w:rFonts w:ascii="DejaVu Sans Mono" w:hAnsi="DejaVu Sans Mono"/>
                <w:color w:val="1A1D2B"/>
                <w:sz w:val="16"/>
              </w:rPr>
              <w:t>Retirement Target Age 67 -&gt; 65</w:t>
            </w:r>
            <w:r>
              <w:br/>
            </w:r>
            <w:r>
              <w:rPr>
                <w:rFonts w:ascii="DejaVu Sans Mono" w:hAnsi="DejaVu Sans Mono"/>
                <w:color w:val="1A1D2B"/>
                <w:sz w:val="16"/>
              </w:rPr>
              <w:t>Inflation ⚠ hypothèse revue</w:t>
            </w:r>
            <w:r>
              <w:br/>
            </w:r>
            <w:r>
              <w:rPr>
                <w:rFonts w:ascii="DejaVu Sans Mono" w:hAnsi="DejaVu Sans Mono"/>
                <w:color w:val="1A1D2B"/>
                <w:sz w:val="16"/>
              </w:rPr>
              <w:t>Nouvelle opportunité ⚠ identifiée</w:t>
            </w:r>
            <w:r>
              <w:br/>
            </w:r>
            <w:r>
              <w:rPr>
                <w:rFonts w:ascii="DejaVu Sans Mono" w:hAnsi="DejaVu Sans Mono"/>
                <w:color w:val="1A1D2B"/>
                <w:sz w:val="16"/>
              </w:rPr>
              <w:t>Recommandation 🔄 ajustement proposé</w:t>
            </w:r>
          </w:p>
        </w:tc>
      </w:tr>
    </w:tbl>
    <w:p>
      <w:pPr>
        <w:spacing w:after="0"/>
      </w:pPr>
    </w:p>
    <w:p>
      <w:pPr>
        <w:pStyle w:val="Heading2"/>
        <w:keepNext/>
      </w:pPr>
      <w:r>
        <w:rPr>
          <w:rFonts w:ascii="Inter" w:hAnsi="Inter"/>
        </w:rPr>
        <w:t>64.4 Timeline</w:t>
      </w:r>
    </w:p>
    <w:p>
      <w:pPr/>
      <w:r>
        <w:rPr>
          <w:rFonts w:ascii="Inter" w:hAnsi="Inter"/>
          <w:i w:val="0"/>
        </w:rPr>
        <w:t>Exemple : 2026 stratégie créée ; 2027 revue annuelle ; 2028 allocation adaptée ; 2029 revue ; 2030 réduction progressive du risque. Cette timeline matérialise la promesse FIND - MONITOR - ADAPT.</w:t>
      </w:r>
    </w:p>
    <w:p>
      <w:pPr>
        <w:pStyle w:val="Heading1"/>
        <w:keepNext/>
      </w:pPr>
      <w:r>
        <w:rPr>
          <w:rFonts w:ascii="Inter" w:hAnsi="Inter"/>
        </w:rPr>
        <w:t>65. Ce qu’il faut éviter</w:t>
      </w:r>
    </w:p>
    <w:p>
      <w:pPr>
        <w:pStyle w:val="ListBullet"/>
        <w:spacing w:after="50"/>
        <w:ind w:left="312" w:hanging="102"/>
      </w:pPr>
      <w:r>
        <w:rPr>
          <w:rFonts w:ascii="Inter" w:hAnsi="Inter"/>
        </w:rPr>
        <w:t>XP, streaks, badges ou quêtes sans utilité réelle ;</w:t>
      </w:r>
    </w:p>
    <w:p>
      <w:pPr>
        <w:pStyle w:val="ListBullet"/>
        <w:spacing w:after="50"/>
        <w:ind w:left="312" w:hanging="102"/>
      </w:pPr>
      <w:r>
        <w:rPr>
          <w:rFonts w:ascii="Inter" w:hAnsi="Inter"/>
        </w:rPr>
        <w:t>trop de données présentées en même temps ;</w:t>
      </w:r>
    </w:p>
    <w:p>
      <w:pPr>
        <w:pStyle w:val="ListBullet"/>
        <w:spacing w:after="50"/>
        <w:ind w:left="312" w:hanging="102"/>
      </w:pPr>
      <w:r>
        <w:rPr>
          <w:rFonts w:ascii="Inter" w:hAnsi="Inter"/>
        </w:rPr>
        <w:t>un simple rendement composé présenté comme futur certain ;</w:t>
      </w:r>
    </w:p>
    <w:p>
      <w:pPr>
        <w:pStyle w:val="ListBullet"/>
        <w:spacing w:after="50"/>
        <w:ind w:left="312" w:hanging="102"/>
      </w:pPr>
      <w:r>
        <w:rPr>
          <w:rFonts w:ascii="Inter" w:hAnsi="Inter"/>
        </w:rPr>
        <w:t>l’oubli de l’inflation ;</w:t>
      </w:r>
    </w:p>
    <w:p>
      <w:pPr>
        <w:pStyle w:val="ListBullet"/>
        <w:spacing w:after="50"/>
        <w:ind w:left="312" w:hanging="102"/>
      </w:pPr>
      <w:r>
        <w:rPr>
          <w:rFonts w:ascii="Inter" w:hAnsi="Inter"/>
        </w:rPr>
        <w:t>le mélange entre CHF constants et CHF futurs ;</w:t>
      </w:r>
    </w:p>
    <w:p>
      <w:pPr>
        <w:pStyle w:val="ListBullet"/>
        <w:spacing w:after="50"/>
        <w:ind w:left="312" w:hanging="102"/>
      </w:pPr>
      <w:r>
        <w:rPr>
          <w:rFonts w:ascii="Inter" w:hAnsi="Inter"/>
        </w:rPr>
        <w:t>un catalogue brut de produits sans lien avec l’objectif ;</w:t>
      </w:r>
    </w:p>
    <w:p>
      <w:pPr>
        <w:pStyle w:val="ListBullet"/>
        <w:spacing w:after="50"/>
        <w:ind w:left="312" w:hanging="102"/>
      </w:pPr>
      <w:r>
        <w:rPr>
          <w:rFonts w:ascii="Inter" w:hAnsi="Inter"/>
        </w:rPr>
        <w:t>des CTA commerciaux avant la démonstration de valeur ;</w:t>
      </w:r>
    </w:p>
    <w:p>
      <w:pPr>
        <w:pStyle w:val="ListBullet"/>
        <w:spacing w:after="50"/>
        <w:ind w:left="312" w:hanging="102"/>
      </w:pPr>
      <w:r>
        <w:rPr>
          <w:rFonts w:ascii="Inter" w:hAnsi="Inter"/>
        </w:rPr>
        <w:t>des recommandations fondées uniquement sur la performance passée ;</w:t>
      </w:r>
    </w:p>
    <w:p>
      <w:pPr>
        <w:pStyle w:val="ListBullet"/>
        <w:spacing w:after="50"/>
        <w:ind w:left="312" w:hanging="102"/>
      </w:pPr>
      <w:r>
        <w:rPr>
          <w:rFonts w:ascii="Inter" w:hAnsi="Inter"/>
        </w:rPr>
        <w:t>des formulations ridiculisant ou culpabilisant l’utilisateur ;</w:t>
      </w:r>
    </w:p>
    <w:p>
      <w:pPr>
        <w:pStyle w:val="ListBullet"/>
        <w:spacing w:after="50"/>
        <w:ind w:left="312" w:hanging="102"/>
      </w:pPr>
      <w:r>
        <w:rPr>
          <w:rFonts w:ascii="Inter" w:hAnsi="Inter"/>
        </w:rPr>
        <w:t>des scores impossibles à expliquer.</w:t>
      </w:r>
    </w:p>
    <w:p>
      <w:pPr>
        <w:keepNext w:val="0"/>
      </w:pPr>
      <w: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VI BIS</w:t>
            </w:r>
          </w:p>
          <w:p>
            <w:pPr>
              <w:spacing w:after="0"/>
            </w:pPr>
            <w:r>
              <w:rPr>
                <w:rFonts w:ascii="Inter" w:hAnsi="Inter"/>
                <w:color w:val="E7E8FF"/>
                <w:sz w:val="20"/>
              </w:rPr>
              <w:t>CoverView Retire</w:t>
              <w:br/>
              <w:t>Décision, décaissement et modèle économique</w:t>
            </w:r>
          </w:p>
        </w:tc>
      </w:tr>
    </w:tbl>
    <w:p>
      <w:pPr>
        <w:keepNext w:val="0"/>
      </w:pPr>
    </w:p>
    <w:p>
      <w:pPr>
        <w:pStyle w:val="CoverViewLead"/>
        <w:keepNext w:val="0"/>
      </w:pPr>
      <w:r>
        <w:t>Ce module complète le parcours 3P : après « atteindre un capital », il traite « financer durablement la vie souhaitée ». Il ne crée ni une nouvelle plateforme retraite, ni une nouvelle base de données.</w:t>
      </w:r>
    </w:p>
    <w:p>
      <w:pPr>
        <w:pStyle w:val="CoverViewSmall"/>
        <w:keepNext w:val="0"/>
      </w:pPr>
      <w:r>
        <w:t>Base documentaire : [RET-1], PDF joint de 7 pages. R1 à R13 suivent ses treize sections. R14 et R15 sont des raccordements proposés à la plateforme existante. R16 rend explicites les écarts et paramètres non définis. Les prix et allocations ci-dessous sont ceux du document stratégique ; leur présence dans la bible ne vaut ni disponibilité commerciale ni validation de la stratégie.</w:t>
      </w:r>
    </w:p>
    <w:p>
      <w:pPr>
        <w:pStyle w:val="Heading1"/>
        <w:keepNext/>
      </w:pPr>
      <w:r>
        <w:t>R1. Vision</w:t>
      </w:r>
    </w:p>
    <w:p>
      <w:pPr>
        <w:pStyle w:val="CoverViewSmall"/>
        <w:keepNext w:val="0"/>
      </w:pPr>
      <w:r>
        <w:t>Source : [RET-1, p. 2, section 1].</w:t>
      </w:r>
    </w:p>
    <w:p>
      <w:pPr>
        <w:keepNext w:val="0"/>
      </w:pPr>
      <w:r>
        <w:t>CoverView Retire est un moteur de décision et de pilotage du cycle de vie financier intégré à CoverView Wallet. Il répond à quatre questions : combien le foyer peut réellement dépenser ; quelle part de LPP prendre en rente ou en capital ; comment investir et décaisser le capital ; comment le plan résiste à la longévité, à la dépendance et aux crises.</w:t>
      </w:r>
    </w:p>
    <w:p>
      <w:pPr>
        <w:keepNext w:val="0"/>
      </w:pPr>
      <w:r>
        <w:t>Principe directeur : on ne sécurise pas tout le patrimoine. On sécurise le temps et les flux nécessaires pour éviter de vendre les actifs de croissance au pire moment, puis on laisse le capital sans mission immédiate composer.</w:t>
      </w:r>
    </w:p>
    <w:tbl>
      <w:tblPr>
        <w:tblStyle w:val="TableGrid"/>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Promesse</w:t>
            </w:r>
          </w:p>
        </w:tc>
        <w:tc>
          <w:tcPr>
            <w:tcW w:type="dxa" w:w="758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Sortie produit</w:t>
            </w:r>
          </w:p>
        </w:tc>
      </w:tr>
      <w:tr>
        <w:trPr>
          <w:cantSplit/>
        </w:trPr>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Niveau de vie</w:t>
            </w:r>
          </w:p>
        </w:tc>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Range : plancher sécurisé, niveau recommandé, niveau de prospérité.</w:t>
            </w:r>
          </w:p>
        </w:tc>
      </w:tr>
      <w:tr>
        <w:trPr>
          <w:cantSplit/>
        </w:trPr>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Rente ou capital</w:t>
            </w:r>
          </w:p>
        </w:tc>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Comparaison probabiliste 100 % rente, 100 % capital et mixes autorisés.</w:t>
            </w:r>
          </w:p>
        </w:tc>
      </w:tr>
      <w:tr>
        <w:trPr>
          <w:cantSplit/>
        </w:trPr>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Robustesse</w:t>
            </w:r>
          </w:p>
        </w:tc>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Monte-Carlo, stress historiques, inflation, longévité, EMS et transmission.</w:t>
            </w:r>
          </w:p>
        </w:tc>
      </w:tr>
    </w:tbl>
    <w:p>
      <w:pPr>
        <w:keepNext w:val="0"/>
        <w:spacing w:after="40"/>
      </w:pPr>
    </w:p>
    <w:p>
      <w:pPr>
        <w:pStyle w:val="Heading1"/>
        <w:keepNext/>
      </w:pPr>
      <w:r>
        <w:t>R2. Architecture Wallet</w:t>
      </w:r>
    </w:p>
    <w:p>
      <w:pPr>
        <w:pStyle w:val="CoverViewSmall"/>
        <w:keepNext w:val="0"/>
      </w:pPr>
      <w:r>
        <w:t>Source : [RET-1, p. 2, section 2].</w:t>
      </w:r>
    </w:p>
    <w:p>
      <w:pPr>
        <w:keepNext w:val="0"/>
      </w:pPr>
      <w:r>
        <w:t>Il n’existe pas de plateforme retraite séparée. La landing publique sert l’acquisition ; la simulation personnelle vit ensuite dans Wallet, via une entrée Retraite de premier niveau.</w:t>
      </w:r>
    </w:p>
    <w:tbl>
      <w:tblPr>
        <w:tblStyle w:val="TableGrid"/>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Vue dans Retraite</w:t>
            </w:r>
          </w:p>
        </w:tc>
        <w:tc>
          <w:tcPr>
            <w:tcW w:type="dxa" w:w="758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Contenu</w:t>
            </w:r>
          </w:p>
        </w:tc>
      </w:tr>
      <w:tr>
        <w:trPr>
          <w:cantSplit/>
        </w:trPr>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Aujourd’hui</w:t>
            </w:r>
          </w:p>
        </w:tc>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Range, réussite, mix rente/capital, prochaines décisions.</w:t>
            </w:r>
          </w:p>
        </w:tc>
      </w:tr>
      <w:tr>
        <w:trPr>
          <w:cantSplit/>
        </w:trPr>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Mon plan</w:t>
            </w:r>
          </w:p>
        </w:tc>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Âge, budgets, rente/capital, Growth Cascade, succession, dépendance.</w:t>
            </w:r>
          </w:p>
        </w:tc>
      </w:tr>
      <w:tr>
        <w:trPr>
          <w:cantSplit/>
        </w:trPr>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Explorer</w:t>
            </w:r>
          </w:p>
        </w:tc>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Retraite plus tôt, dépenses, maison, donation, mix et événements.</w:t>
            </w:r>
          </w:p>
        </w:tc>
      </w:tr>
      <w:tr>
        <w:trPr>
          <w:cantSplit/>
        </w:trPr>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Stress tests</w:t>
            </w:r>
          </w:p>
        </w:tc>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2000–2002, 2008, inflation, longévité, EMS et décennie médiocre.</w:t>
            </w:r>
          </w:p>
        </w:tc>
      </w:tr>
      <w:tr>
        <w:trPr>
          <w:cantSplit/>
        </w:trPr>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Timeline</w:t>
            </w:r>
          </w:p>
        </w:tc>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Flux annuels et événements jusqu’au décès simulé.</w:t>
            </w:r>
          </w:p>
        </w:tc>
      </w:tr>
    </w:tbl>
    <w:p>
      <w:pPr>
        <w:keepNext w:val="0"/>
        <w:spacing w:after="40"/>
      </w:pPr>
    </w:p>
    <w:p>
      <w:pPr>
        <w:keepNext w:val="0"/>
      </w:pPr>
      <w:r>
        <w:t>Raccordement proposé : ces vues complètent Retraite, Stratégie, Simulations et Suivi, sans créer des copies de contrats ou un second historique. Les comptes du foyer restent des identités distinctes ; le partage des données et du plan dépend des autorisations.</w:t>
      </w:r>
    </w:p>
    <w:p>
      <w:pPr>
        <w:pStyle w:val="Heading1"/>
        <w:keepNext/>
      </w:pPr>
      <w:r>
        <w:t>R3. Parcours utilisateur et seuil d’accès payant</w:t>
      </w:r>
    </w:p>
    <w:p>
      <w:pPr>
        <w:pStyle w:val="CoverViewSmall"/>
        <w:keepNext w:val="0"/>
      </w:pPr>
      <w:r>
        <w:t>Source : [RET-1, p. 2–3, section 3 et tableau Paywall].</w:t>
      </w:r>
    </w:p>
    <w:p>
      <w:pPr>
        <w:keepNext w:val="0"/>
      </w:pPr>
      <w:r>
        <w:t>1. Hook : « Combien pouvez-vous réellement vous permettre de dépenser à la retraite ? »</w:t>
      </w:r>
    </w:p>
    <w:p>
      <w:pPr>
        <w:keepNext w:val="0"/>
      </w:pPr>
      <w:r>
        <w:t>2. Profil : âge, canton, foyer, logement et âge souhaité.</w:t>
      </w:r>
    </w:p>
    <w:p>
      <w:pPr>
        <w:keepNext w:val="0"/>
      </w:pPr>
      <w:r>
        <w:t>3. Revenus garantis : AVS, LPP, upload du certificat si nécessaire.</w:t>
      </w:r>
    </w:p>
    <w:p>
      <w:pPr>
        <w:keepNext w:val="0"/>
      </w:pPr>
      <w:r>
        <w:t>4. Patrimoine : 3a, 3b, cash, portefeuille, immobilier et hypothèque.</w:t>
      </w:r>
    </w:p>
    <w:p>
      <w:pPr>
        <w:keepNext w:val="0"/>
      </w:pPr>
      <w:r>
        <w:t>5. Vie souhaitée : minimum acceptable, vie confortable et vie idéale.</w:t>
      </w:r>
    </w:p>
    <w:p>
      <w:pPr>
        <w:keepNext w:val="0"/>
      </w:pPr>
      <w:r>
        <w:t>6. Priorités : niveau de vie, sécurité, transmission, croissance et simplicité.</w:t>
      </w:r>
    </w:p>
    <w:p>
      <w:pPr>
        <w:keepNext w:val="0"/>
      </w:pPr>
      <w:r>
        <w:t>7. Dépendance : stress EMS activé par défaut dans le parcours cible.</w:t>
      </w:r>
    </w:p>
    <w:p>
      <w:pPr>
        <w:keepNext w:val="0"/>
      </w:pPr>
      <w:r>
        <w:t>8. Première révélation : revenu estimé, gap et premier diagnostic rente/capital.</w:t>
      </w:r>
    </w:p>
    <w:p>
      <w:pPr>
        <w:keepNext w:val="0"/>
      </w:pPr>
      <w:r>
        <w:t>9. Sauvegarde : création ou connexion Wallet seulement après la première valeur.</w:t>
      </w:r>
    </w:p>
    <w:tbl>
      <w:tblPr>
        <w:tblStyle w:val="TableGrid"/>
        <w:tblW w:type="auto" w:w="0"/>
        <w:jc w:val="center"/>
        <w:tblLayout w:type="fixed"/>
        <w:tblLook w:firstColumn="1" w:firstRow="1" w:lastColumn="0" w:lastRow="0" w:noHBand="0" w:noVBand="1" w:val="04A0"/>
      </w:tblPr>
      <w:tblGrid>
        <w:gridCol w:w="4291"/>
        <w:gridCol w:w="5687"/>
      </w:tblGrid>
      <w:tr>
        <w:trPr>
          <w:cantSplit/>
          <w:tblHeader/>
        </w:trPr>
        <w:tc>
          <w:tcPr>
            <w:tcW w:type="dxa" w:w="4291"/>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Retirement Check gratuit</w:t>
            </w:r>
          </w:p>
        </w:tc>
        <w:tc>
          <w:tcPr>
            <w:tcW w:type="dxa" w:w="5687"/>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Retirement Plan</w:t>
            </w:r>
          </w:p>
        </w:tc>
      </w:tr>
      <w:tr>
        <w:trPr>
          <w:cantSplit/>
        </w:trPr>
        <w:tc>
          <w:tcPr>
            <w:tcW w:type="dxa" w:w="42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Revenu estimé et gap</w:t>
            </w:r>
          </w:p>
        </w:tc>
        <w:tc>
          <w:tcPr>
            <w:tcW w:type="dxa" w:w="5687"/>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Mix rente/capital optimal selon les contraintes modélisées.</w:t>
            </w:r>
          </w:p>
        </w:tc>
      </w:tr>
      <w:tr>
        <w:trPr>
          <w:cantSplit/>
        </w:trPr>
        <w:tc>
          <w:tcPr>
            <w:tcW w:type="dxa" w:w="4291"/>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Rente LPP estimée</w:t>
            </w:r>
          </w:p>
        </w:tc>
        <w:tc>
          <w:tcPr>
            <w:tcW w:type="dxa" w:w="5687"/>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Revenu soutenable aux niveaux 80 / 90 / 95 / 99 %.</w:t>
            </w:r>
          </w:p>
        </w:tc>
      </w:tr>
      <w:tr>
        <w:trPr>
          <w:cantSplit/>
        </w:trPr>
        <w:tc>
          <w:tcPr>
            <w:tcW w:type="dxa" w:w="42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Capital disponible</w:t>
            </w:r>
          </w:p>
        </w:tc>
        <w:tc>
          <w:tcPr>
            <w:tcW w:type="dxa" w:w="5687"/>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Break-even de rente.</w:t>
            </w:r>
          </w:p>
        </w:tc>
      </w:tr>
      <w:tr>
        <w:trPr>
          <w:cantSplit/>
        </w:trPr>
        <w:tc>
          <w:tcPr>
            <w:tcW w:type="dxa" w:w="4291"/>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Premier diagnostic</w:t>
            </w:r>
          </w:p>
        </w:tc>
        <w:tc>
          <w:tcPr>
            <w:tcW w:type="dxa" w:w="5687"/>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Monte-Carlo complet.</w:t>
            </w:r>
          </w:p>
        </w:tc>
      </w:tr>
      <w:tr>
        <w:trPr>
          <w:cantSplit/>
        </w:trPr>
        <w:tc>
          <w:tcPr>
            <w:tcW w:type="dxa" w:w="42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Score de préparation</w:t>
            </w:r>
          </w:p>
        </w:tc>
        <w:tc>
          <w:tcPr>
            <w:tcW w:type="dxa" w:w="5687"/>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EMS, succession, stress tests et Growth Cascade.</w:t>
            </w:r>
          </w:p>
        </w:tc>
      </w:tr>
    </w:tbl>
    <w:p>
      <w:pPr>
        <w:keepNext w:val="0"/>
        <w:spacing w:after="40"/>
      </w:pPr>
    </w:p>
    <w:p>
      <w:pPr>
        <w:keepNext w:val="0"/>
      </w:pPr>
      <w:r>
        <w:t>Raccordement proposé : cette séparation concerne l’offre Retire et non un retrait implicite de la valeur gratuite du parcours 3P existant. Le contrat uploadé, le profil, les sources et les hypothèses sont conservés lors du passage Check -&gt; Plan -&gt; Strategy.</w:t>
      </w:r>
    </w:p>
    <w:p>
      <w:pPr>
        <w:pStyle w:val="Heading1"/>
        <w:keepNext/>
      </w:pPr>
      <w:r>
        <w:t>R4. Résultats et Retirement Range</w:t>
      </w:r>
    </w:p>
    <w:p>
      <w:pPr>
        <w:pStyle w:val="CoverViewSmall"/>
        <w:keepNext w:val="0"/>
      </w:pPr>
      <w:r>
        <w:t>Source : [RET-1, p. 3, section 4].</w:t>
      </w:r>
    </w:p>
    <w:p>
      <w:pPr>
        <w:keepNext w:val="0"/>
      </w:pPr>
      <w:r>
        <w:t>Le Monte-Carlo est la preuve méthodologique, pas la promesse. Le produit parle d’abord de niveau de vie, de sécurité et de décisions.</w:t>
      </w:r>
    </w:p>
    <w:tbl>
      <w:tblPr>
        <w:tblStyle w:val="TableGrid"/>
        <w:tblW w:type="auto" w:w="0"/>
        <w:jc w:val="center"/>
        <w:tblLayout w:type="fixed"/>
        <w:tblLook w:firstColumn="1" w:firstRow="1" w:lastColumn="0" w:lastRow="0" w:noHBand="0" w:noVBand="1" w:val="04A0"/>
      </w:tblPr>
      <w:tblGrid>
        <w:gridCol w:w="2993"/>
        <w:gridCol w:w="6985"/>
      </w:tblGrid>
      <w:tr>
        <w:trPr>
          <w:cantSplit/>
          <w:tblHeader/>
        </w:trPr>
        <w:tc>
          <w:tcPr>
            <w:tcW w:type="dxa" w:w="29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Niveau</w:t>
            </w:r>
          </w:p>
        </w:tc>
        <w:tc>
          <w:tcPr>
            <w:tcW w:type="dxa" w:w="698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Définition du document source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Plancher sécurisé</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Budget réel soutenable avec une probabilité très élevée.</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Niveau recommandé</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Compromis entre qualité de vie et sécurité.</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Niveau de prospérité</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Budget accessible dans les trajectoires favorables.</w:t>
            </w:r>
          </w:p>
        </w:tc>
      </w:tr>
    </w:tbl>
    <w:p>
      <w:pPr>
        <w:keepNext w:val="0"/>
        <w:spacing w:after="40"/>
      </w:pPr>
    </w:p>
    <w:p>
      <w:pPr>
        <w:keepNext w:val="0"/>
      </w:pPr>
      <w:r>
        <w:t>Le terme « plancher sécurisé » est conservé comme nom produit. Il doit rester associé à son niveau de réussite modélisé et ne pas être présenté comme une garantie. Le PDF ne fixe pas la correspondance exacte entre ces trois niveaux et les seuils 80 / 90 / 95 / 99 % ; cette correspondance reste à valider.</w:t>
      </w:r>
    </w:p>
    <w:tbl>
      <w:tblPr>
        <w:tblStyle w:val="TableGrid"/>
        <w:tblW w:type="auto" w:w="0"/>
        <w:jc w:val="center"/>
        <w:tblLayout w:type="fixed"/>
        <w:tblLook w:firstColumn="1" w:firstRow="1" w:lastColumn="0" w:lastRow="0" w:noHBand="0" w:noVBand="1" w:val="04A0"/>
      </w:tblPr>
      <w:tblGrid>
        <w:gridCol w:w="3592"/>
        <w:gridCol w:w="6386"/>
      </w:tblGrid>
      <w:tr>
        <w:trPr>
          <w:cantSplit/>
          <w:tblHeader/>
        </w:trPr>
        <w:tc>
          <w:tcPr>
            <w:tcW w:type="dxa" w:w="3592"/>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Métrique</w:t>
            </w:r>
          </w:p>
        </w:tc>
        <w:tc>
          <w:tcPr>
            <w:tcW w:type="dxa" w:w="6386"/>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Définition / sortie demandée</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Real Income Success Rate</w:t>
            </w:r>
          </w:p>
        </w:tc>
        <w:tc>
          <w:tcPr>
            <w:tcW w:type="dxa" w:w="63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Probabilité de maintenir le revenu réel cible.</w:t>
            </w:r>
          </w:p>
        </w:tc>
      </w:tr>
      <w:tr>
        <w:trPr>
          <w:cantSplit/>
        </w:trPr>
        <w:tc>
          <w:tcPr>
            <w:tcW w:type="dxa" w:w="35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Net Lifetime Economic Value</w:t>
            </w:r>
          </w:p>
        </w:tc>
        <w:tc>
          <w:tcPr>
            <w:tcW w:type="dxa" w:w="63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Revenus consommés + patrimoine transmis.</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Break-even conversion rate</w:t>
            </w:r>
          </w:p>
        </w:tc>
        <w:tc>
          <w:tcPr>
            <w:tcW w:type="dxa" w:w="63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Taux de conversion rendant rente et capital équivalents.</w:t>
            </w:r>
          </w:p>
        </w:tc>
      </w:tr>
      <w:tr>
        <w:trPr>
          <w:cantSplit/>
        </w:trPr>
        <w:tc>
          <w:tcPr>
            <w:tcW w:type="dxa" w:w="35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Patrimoine au décès</w:t>
            </w:r>
          </w:p>
        </w:tc>
        <w:tc>
          <w:tcPr>
            <w:tcW w:type="dxa" w:w="63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P10 / P50 / P90 du patrimoine au décès.</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Long-Term Care Coverage</w:t>
            </w:r>
          </w:p>
        </w:tc>
        <w:tc>
          <w:tcPr>
            <w:tcW w:type="dxa" w:w="63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Financement de la dépendance.</w:t>
            </w:r>
          </w:p>
        </w:tc>
      </w:tr>
      <w:tr>
        <w:trPr>
          <w:cantSplit/>
        </w:trPr>
        <w:tc>
          <w:tcPr>
            <w:tcW w:type="dxa" w:w="35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Forced Sale Rate</w:t>
            </w:r>
          </w:p>
        </w:tc>
        <w:tc>
          <w:tcPr>
            <w:tcW w:type="dxa" w:w="63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Probabilité de vendre Growth en crise.</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Max Lombard Usage</w:t>
            </w:r>
          </w:p>
        </w:tc>
        <w:tc>
          <w:tcPr>
            <w:tcW w:type="dxa" w:w="63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Dette maximale et marge de sécurité.</w:t>
            </w:r>
          </w:p>
        </w:tc>
      </w:tr>
    </w:tbl>
    <w:p>
      <w:pPr>
        <w:keepNext w:val="0"/>
        <w:spacing w:after="40"/>
      </w:pPr>
    </w:p>
    <w:p>
      <w:pPr>
        <w:keepNext w:val="0"/>
      </w:pPr>
      <w:r>
        <w:t>Les résultats conservent la règle transversale : une mention visible « Probabilités basées sur N simulations Monte-Carlo », sans répéter N sous chaque indicateur ou tranche. Les détails de méthode restent accessibles.</w:t>
      </w:r>
    </w:p>
    <w:p>
      <w:pPr>
        <w:pStyle w:val="Heading1"/>
        <w:keepNext/>
      </w:pPr>
      <w:r>
        <w:t>R5. Vie, longévité et EMS</w:t>
      </w:r>
    </w:p>
    <w:p>
      <w:pPr>
        <w:pStyle w:val="CoverViewSmall"/>
        <w:keepNext w:val="0"/>
      </w:pPr>
      <w:r>
        <w:t>Source : [RET-1, p. 3, section 5].</w:t>
      </w:r>
    </w:p>
    <w:p>
      <w:pPr>
        <w:keepNext w:val="0"/>
      </w:pPr>
      <w:r>
        <w:t>Le budget varie avec les phases de vie : retraite active, ralentissement, aide à domicile, EMS. Le coût EMS est calculé net des dépenses remplacées ; il n’est pas ajouté mécaniquement au budget antérieur.</w:t>
      </w:r>
    </w:p>
    <w:p>
      <w:pPr>
        <w:keepNext w:val="0"/>
      </w:pPr>
      <w:r>
        <w:t>Le document décrit la valeur relative de la rente dans les scénarios de longévité extrême, de dépendance longue et de marchés médiocres, et celle du capital lorsque les marchés composent, que la flexibilité est utile et que la transmission compte. Le comparateur doit montrer ces compromis, pas imposer un gagnant universel.</w:t>
      </w:r>
    </w:p>
    <w:p>
      <w:pPr>
        <w:keepNext w:val="0"/>
      </w:pPr>
      <w:r>
        <w:t>Raccordement proposé : budgets, événements de vie, couple, ordre des décès et transmission sont rattachés au foyer et à une version du plan. La recherche LPP et les certificats reçus peuvent enrichir un nouveau calcul sans modifier les scénarios déjà sauvegardés.</w:t>
      </w:r>
    </w:p>
    <w:p>
      <w:pPr>
        <w:pStyle w:val="Heading1"/>
        <w:keepNext/>
      </w:pPr>
      <w:r>
        <w:t>R6. CoverView Growth Cascade</w:t>
      </w:r>
    </w:p>
    <w:p>
      <w:pPr>
        <w:pStyle w:val="CoverViewSmall"/>
        <w:keepNext w:val="0"/>
      </w:pPr>
      <w:r>
        <w:t>Source : [RET-1, p. 3–4, section 6].</w:t>
      </w:r>
    </w:p>
    <w:tbl>
      <w:tblPr>
        <w:tblStyle w:val="TableGrid"/>
        <w:tblW w:type="auto" w:w="0"/>
        <w:jc w:val="center"/>
        <w:tblLayout w:type="fixed"/>
        <w:tblLook w:firstColumn="1" w:firstRow="1" w:lastColumn="0" w:lastRow="0" w:noHBand="0" w:noVBand="1" w:val="04A0"/>
      </w:tblPr>
      <w:tblGrid>
        <w:gridCol w:w="3592"/>
        <w:gridCol w:w="1696"/>
        <w:gridCol w:w="4690"/>
      </w:tblGrid>
      <w:tr>
        <w:trPr>
          <w:cantSplit/>
          <w:tblHeader/>
        </w:trPr>
        <w:tc>
          <w:tcPr>
            <w:tcW w:type="dxa" w:w="3592"/>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Poche</w:t>
            </w:r>
          </w:p>
        </w:tc>
        <w:tc>
          <w:tcPr>
            <w:tcW w:type="dxa" w:w="1696"/>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Référence</w:t>
            </w:r>
          </w:p>
        </w:tc>
        <w:tc>
          <w:tcPr>
            <w:tcW w:type="dxa" w:w="4690"/>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Mission</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Strategic Growth Engine</w:t>
            </w:r>
          </w:p>
        </w:tc>
        <w:tc>
          <w:tcPr>
            <w:tcW w:type="dxa" w:w="169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80 %</w:t>
            </w:r>
          </w:p>
        </w:tc>
        <w:tc>
          <w:tcPr>
            <w:tcW w:type="dxa" w:w="46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Croissance réelle à long terme.</w:t>
            </w:r>
          </w:p>
        </w:tc>
      </w:tr>
      <w:tr>
        <w:trPr>
          <w:cantSplit/>
        </w:trPr>
        <w:tc>
          <w:tcPr>
            <w:tcW w:type="dxa" w:w="35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Quality Income Engine</w:t>
            </w:r>
          </w:p>
        </w:tc>
        <w:tc>
          <w:tcPr>
            <w:tcW w:type="dxa" w:w="169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17 %</w:t>
            </w:r>
          </w:p>
        </w:tc>
        <w:tc>
          <w:tcPr>
            <w:tcW w:type="dxa" w:w="46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Revenu actions et diversification économique.</w:t>
            </w:r>
          </w:p>
        </w:tc>
      </w:tr>
      <w:tr>
        <w:trPr>
          <w:cantSplit/>
        </w:trPr>
        <w:tc>
          <w:tcPr>
            <w:tcW w:type="dxa" w:w="35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Safety Buffer</w:t>
            </w:r>
          </w:p>
        </w:tc>
        <w:tc>
          <w:tcPr>
            <w:tcW w:type="dxa" w:w="169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3 %</w:t>
            </w:r>
          </w:p>
        </w:tc>
        <w:tc>
          <w:tcPr>
            <w:tcW w:type="dxa" w:w="46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Liquidité immédiate et besoin résiduel.</w:t>
            </w:r>
          </w:p>
        </w:tc>
      </w:tr>
      <w:tr>
        <w:trPr>
          <w:cantSplit/>
        </w:trPr>
        <w:tc>
          <w:tcPr>
            <w:tcW w:type="dxa" w:w="35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Lombard Bridge</w:t>
            </w:r>
          </w:p>
        </w:tc>
        <w:tc>
          <w:tcPr>
            <w:tcW w:type="dxa" w:w="169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Hors allocation</w:t>
            </w:r>
          </w:p>
        </w:tc>
        <w:tc>
          <w:tcPr>
            <w:tcW w:type="dxa" w:w="46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Décaler temporairement une vente au mauvais moment.</w:t>
            </w:r>
          </w:p>
        </w:tc>
      </w:tr>
    </w:tbl>
    <w:p>
      <w:pPr>
        <w:keepNext w:val="0"/>
        <w:spacing w:after="40"/>
      </w:pPr>
    </w:p>
    <w:p>
      <w:pPr>
        <w:keepNext w:val="0"/>
      </w:pPr>
      <w:r>
        <w:t>80 / 17 / 3 constitue la référence du document, non une pondération universelle ni une règle de rééquilibrage automatique. Le même document dimensionne Income en CHF de revenu annuel et Safety en années de besoin résiduel. La manière de combiner ces cibles doit être définie sans effacer l’une des deux descriptions.</w:t>
      </w:r>
    </w:p>
    <w:p>
      <w:pPr>
        <w:pStyle w:val="Heading2"/>
        <w:keepNext/>
      </w:pPr>
      <w:r>
        <w:t>R6.1 Strategic Growth Engine</w:t>
      </w:r>
    </w:p>
    <w:tbl>
      <w:tblPr>
        <w:tblStyle w:val="TableGrid"/>
        <w:tblW w:type="auto" w:w="0"/>
        <w:jc w:val="center"/>
        <w:tblLayout w:type="fixed"/>
        <w:tblLook w:firstColumn="1" w:firstRow="1" w:lastColumn="0" w:lastRow="0" w:noHBand="0" w:noVBand="1" w:val="04A0"/>
      </w:tblPr>
      <w:tblGrid>
        <w:gridCol w:w="7583"/>
        <w:gridCol w:w="2395"/>
      </w:tblGrid>
      <w:tr>
        <w:trPr>
          <w:cantSplit/>
          <w:tblHeader/>
        </w:trPr>
        <w:tc>
          <w:tcPr>
            <w:tcW w:type="dxa" w:w="758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Composante</w:t>
            </w:r>
          </w:p>
        </w:tc>
        <w:tc>
          <w:tcPr>
            <w:tcW w:type="dxa" w:w="239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Part de Growth</w:t>
            </w:r>
          </w:p>
        </w:tc>
      </w:tr>
      <w:tr>
        <w:trPr>
          <w:cantSplit/>
        </w:trPr>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Compute &amp; semi-conducteurs</w:t>
            </w:r>
          </w:p>
        </w:tc>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27,5 %</w:t>
            </w:r>
          </w:p>
        </w:tc>
      </w:tr>
      <w:tr>
        <w:trPr>
          <w:cantSplit/>
        </w:trPr>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Infrastructure data centers</w:t>
            </w:r>
          </w:p>
        </w:tc>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17,5 %</w:t>
            </w:r>
          </w:p>
        </w:tc>
      </w:tr>
      <w:tr>
        <w:trPr>
          <w:cantSplit/>
        </w:trPr>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Énergie &amp; électrification</w:t>
            </w:r>
          </w:p>
        </w:tc>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15 %</w:t>
            </w:r>
          </w:p>
        </w:tc>
      </w:tr>
      <w:tr>
        <w:trPr>
          <w:cantSplit/>
        </w:trPr>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IA, cloud, software, cyber</w:t>
            </w:r>
          </w:p>
        </w:tc>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15 %</w:t>
            </w:r>
          </w:p>
        </w:tc>
      </w:tr>
      <w:tr>
        <w:trPr>
          <w:cantSplit/>
        </w:trPr>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Robotique &amp; automatisation</w:t>
            </w:r>
          </w:p>
        </w:tc>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10 %</w:t>
            </w:r>
          </w:p>
        </w:tc>
      </w:tr>
      <w:tr>
        <w:trPr>
          <w:cantSplit/>
        </w:trPr>
        <w:tc>
          <w:tcPr>
            <w:tcW w:type="dxa" w:w="75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Healthcare / medtech / biotech</w:t>
            </w:r>
          </w:p>
        </w:tc>
        <w:tc>
          <w:tcPr>
            <w:tcW w:type="dxa" w:w="23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10 %</w:t>
            </w:r>
          </w:p>
        </w:tc>
      </w:tr>
      <w:tr>
        <w:trPr>
          <w:cantSplit/>
        </w:trPr>
        <w:tc>
          <w:tcPr>
            <w:tcW w:type="dxa" w:w="75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Quantique &amp; frontier</w:t>
            </w:r>
          </w:p>
        </w:tc>
        <w:tc>
          <w:tcPr>
            <w:tcW w:type="dxa" w:w="23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5 %</w:t>
            </w:r>
          </w:p>
        </w:tc>
      </w:tr>
    </w:tbl>
    <w:p>
      <w:pPr>
        <w:keepNext w:val="0"/>
        <w:spacing w:after="40"/>
      </w:pPr>
    </w:p>
    <w:p>
      <w:pPr>
        <w:pStyle w:val="ListBullet"/>
        <w:keepNext w:val="0"/>
      </w:pPr>
      <w:r>
        <w:t>Une entreprise : maximum indicatif d’environ 8 % du Growth.</w:t>
      </w:r>
    </w:p>
    <w:p>
      <w:pPr>
        <w:pStyle w:val="ListBullet"/>
        <w:keepNext w:val="0"/>
      </w:pPr>
      <w:r>
        <w:t>Même moteur économique : maximum indicatif d’environ 35 %.</w:t>
      </w:r>
    </w:p>
    <w:p>
      <w:pPr>
        <w:pStyle w:val="ListBullet"/>
        <w:keepNext w:val="0"/>
      </w:pPr>
      <w:r>
        <w:t>Entreprises prérevenus ou durablement déficitaires : maximum indicatif d’environ 5 %.</w:t>
      </w:r>
    </w:p>
    <w:p>
      <w:pPr>
        <w:pStyle w:val="ListBullet"/>
        <w:keepNext w:val="0"/>
      </w:pPr>
      <w:r>
        <w:t>Frontier : maximum indicatif d’environ 5 %.</w:t>
      </w:r>
    </w:p>
    <w:p>
      <w:pPr>
        <w:pStyle w:val="ListBullet"/>
        <w:keepNext w:val="0"/>
      </w:pPr>
      <w:r>
        <w:t>Environ 70 % d’infrastructures ou entreprises rentables, 25 % de croissance avec revenus visibles, 5 % frontier.</w:t>
      </w:r>
    </w:p>
    <w:p>
      <w:pPr>
        <w:pStyle w:val="ListBullet"/>
        <w:keepNext w:val="0"/>
      </w:pPr>
      <w:r>
        <w:t>Diversification mesurée look-through par entreprise, chaîne de valeur et catalyseur commun.</w:t>
      </w:r>
    </w:p>
    <w:p>
      <w:pPr>
        <w:keepNext w:val="0"/>
      </w:pPr>
      <w:r>
        <w:t>Ces paramètres décrivent la stratégie de référence à tester ; ils ne constituent ni une recommandation personnalisée déjà validée ni un résultat de backtest. Le périmètre exact de chaque limite et la taxonomie des expositions sont à spécifier.</w:t>
      </w:r>
    </w:p>
    <w:p>
      <w:pPr>
        <w:pStyle w:val="Heading1"/>
        <w:keepNext/>
      </w:pPr>
      <w:r>
        <w:t>R7. Income, Safety et Lombard</w:t>
      </w:r>
    </w:p>
    <w:p>
      <w:pPr>
        <w:pStyle w:val="CoverViewSmall"/>
        <w:keepNext w:val="0"/>
      </w:pPr>
      <w:r>
        <w:t>Source : [RET-1, p. 4, section 7].</w:t>
      </w:r>
    </w:p>
    <w:p>
      <w:pPr>
        <w:pStyle w:val="Heading2"/>
        <w:keepNext/>
      </w:pPr>
      <w:r>
        <w:t>R7.1 Quality Income Engine</w:t>
      </w:r>
    </w:p>
    <w:p>
      <w:pPr>
        <w:pStyle w:val="ListBullet"/>
        <w:keepNext w:val="0"/>
      </w:pPr>
      <w:r>
        <w:t>Rendement normalisé cible d’environ 3,5 à 4,5 %, sans recherche du yield maximal.</w:t>
      </w:r>
    </w:p>
    <w:p>
      <w:pPr>
        <w:pStyle w:val="ListBullet"/>
        <w:keepNext w:val="0"/>
      </w:pPr>
      <w:r>
        <w:t>Sélection fondée sur l’historique du dividende ordinaire, sa couverture par les bénéfices et le free cash-flow, et une dette supportable.</w:t>
      </w:r>
    </w:p>
    <w:p>
      <w:pPr>
        <w:pStyle w:val="ListBullet"/>
        <w:keepNext w:val="0"/>
      </w:pPr>
      <w:r>
        <w:t>Dividendes exceptionnels exclus du rendement structurel.</w:t>
      </w:r>
    </w:p>
    <w:p>
      <w:pPr>
        <w:pStyle w:val="ListBullet"/>
        <w:keepNext w:val="0"/>
      </w:pPr>
      <w:r>
        <w:t>Cible exprimée en CHF de revenu annuel ; une fois atteinte, Growth ne l’alimente pas automatiquement.</w:t>
      </w:r>
    </w:p>
    <w:p>
      <w:pPr>
        <w:pStyle w:val="Heading2"/>
        <w:keepNext/>
      </w:pPr>
      <w:r>
        <w:t>R7.2 Safety Buffer</w:t>
      </w:r>
    </w:p>
    <w:tbl>
      <w:tblPr>
        <w:tblStyle w:val="TableGrid"/>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Seuil</w:t>
            </w:r>
          </w:p>
        </w:tc>
        <w:tc>
          <w:tcPr>
            <w:tcW w:type="dxa" w:w="7184"/>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Référence en besoin résiduel</w:t>
            </w:r>
          </w:p>
        </w:tc>
      </w:tr>
      <w:tr>
        <w:trPr>
          <w:cantSplit/>
        </w:trPr>
        <w:tc>
          <w:tcPr>
            <w:tcW w:type="dxa" w:w="27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Plancher</w:t>
            </w:r>
          </w:p>
        </w:tc>
        <w:tc>
          <w:tcPr>
            <w:tcW w:type="dxa" w:w="71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Environ 0,5 année.</w:t>
            </w:r>
          </w:p>
        </w:tc>
      </w:tr>
      <w:tr>
        <w:trPr>
          <w:cantSplit/>
        </w:trPr>
        <w:tc>
          <w:tcPr>
            <w:tcW w:type="dxa" w:w="27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Cible</w:t>
            </w:r>
          </w:p>
        </w:tc>
        <w:tc>
          <w:tcPr>
            <w:tcW w:type="dxa" w:w="718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Environ 1,5 année.</w:t>
            </w:r>
          </w:p>
        </w:tc>
      </w:tr>
      <w:tr>
        <w:trPr>
          <w:cantSplit/>
        </w:trPr>
        <w:tc>
          <w:tcPr>
            <w:tcW w:type="dxa" w:w="27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Plafond</w:t>
            </w:r>
          </w:p>
        </w:tc>
        <w:tc>
          <w:tcPr>
            <w:tcW w:type="dxa" w:w="71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Environ 2,5 années.</w:t>
            </w:r>
          </w:p>
        </w:tc>
      </w:tr>
    </w:tbl>
    <w:p>
      <w:pPr>
        <w:keepNext w:val="0"/>
        <w:spacing w:after="40"/>
      </w:pPr>
    </w:p>
    <w:p>
      <w:pPr>
        <w:keepNext w:val="0"/>
      </w:pPr>
      <w:r>
        <w:t>La réserve est dynamique : consommée en crise, reconstituée après récupération. La définition du besoin résiduel et la priorité de ces seuils par rapport à la référence de 3 % sont à formaliser.</w:t>
      </w:r>
    </w:p>
    <w:p>
      <w:pPr>
        <w:pStyle w:val="Heading2"/>
        <w:keepNext/>
      </w:pPr>
      <w:r>
        <w:t>R7.3 Lombard Bridge</w:t>
      </w:r>
    </w:p>
    <w:p>
      <w:pPr>
        <w:pStyle w:val="ListBullet"/>
        <w:keepNext w:val="0"/>
      </w:pPr>
      <w:r>
        <w:t>Ligne de secours, jamais levier de performance.</w:t>
      </w:r>
    </w:p>
    <w:p>
      <w:pPr>
        <w:pStyle w:val="ListBullet"/>
        <w:keepNext w:val="0"/>
      </w:pPr>
      <w:r>
        <w:t>Utilisation envisagée si Growth est fortement en drawdown et Safety proche du plancher.</w:t>
      </w:r>
    </w:p>
    <w:p>
      <w:pPr>
        <w:pStyle w:val="ListBullet"/>
        <w:keepNext w:val="0"/>
      </w:pPr>
      <w:r>
        <w:t>Dette remboursée avant bonus.</w:t>
      </w:r>
    </w:p>
    <w:p>
      <w:pPr>
        <w:pStyle w:val="ListBullet"/>
        <w:keepNext w:val="0"/>
      </w:pPr>
      <w:r>
        <w:t>Le simulateur stresse les taux, les haircuts, la baisse du collatéral et la réduction de la ligne.</w:t>
      </w:r>
    </w:p>
    <w:p>
      <w:pPr>
        <w:keepNext w:val="0"/>
      </w:pPr>
      <w:r>
        <w:t>Le PDF demande une validation de l’usage du Lombard avant commercialisation. Il ne définit ni prêteur, ni taux de référence, ni limite opérationnelle précise, ni autorisation de tirage automatique. La bible conserve donc cette brique comme scénario à encadrer, pas comme capacité de crédit disponible.</w:t>
      </w:r>
    </w:p>
    <w:p>
      <w:pPr>
        <w:pStyle w:val="Heading1"/>
        <w:keepNext/>
      </w:pPr>
      <w:r>
        <w:t>R8. Flux, arbitrages et règle de non-intervention</w:t>
      </w:r>
    </w:p>
    <w:p>
      <w:pPr>
        <w:pStyle w:val="CoverViewSmall"/>
        <w:keepNext w:val="0"/>
      </w:pPr>
      <w:r>
        <w:t>Source : [RET-1, p. 4–5, section 8 ; tableau continu sur deux pages].</w:t>
      </w:r>
    </w:p>
    <w:tbl>
      <w:tblPr>
        <w:tblStyle w:val="TableGrid"/>
        <w:tblW w:type="auto" w:w="0"/>
        <w:jc w:val="center"/>
        <w:tblLayout w:type="fixed"/>
        <w:tblLook w:firstColumn="1" w:firstRow="1" w:lastColumn="0" w:lastRow="0" w:noHBand="0" w:noVBand="1" w:val="04A0"/>
      </w:tblPr>
      <w:tblGrid>
        <w:gridCol w:w="2494"/>
        <w:gridCol w:w="4490"/>
        <w:gridCol w:w="2993"/>
      </w:tblGrid>
      <w:tr>
        <w:trPr>
          <w:cantSplit/>
          <w:tblHeader/>
        </w:trPr>
        <w:tc>
          <w:tcPr>
            <w:tcW w:type="dxa" w:w="2494"/>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État Growth</w:t>
            </w:r>
          </w:p>
        </w:tc>
        <w:tc>
          <w:tcPr>
            <w:tcW w:type="dxa" w:w="4490"/>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Flux prévu</w:t>
            </w:r>
          </w:p>
        </w:tc>
        <w:tc>
          <w:tcPr>
            <w:tcW w:type="dxa" w:w="29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Budget</w:t>
            </w:r>
          </w:p>
        </w:tc>
      </w:tr>
      <w:tr>
        <w:trPr>
          <w:cantSplit/>
        </w:trPr>
        <w:tc>
          <w:tcPr>
            <w:tcW w:type="dxa" w:w="24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Vert : 0 à −10 %</w:t>
            </w:r>
          </w:p>
        </w:tc>
        <w:tc>
          <w:tcPr>
            <w:tcW w:type="dxa" w:w="44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Dividendes -&gt; vente Growth minimale -&gt; dépenses.</w:t>
            </w:r>
          </w:p>
        </w:tc>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100 % + bonus éventuel.</w:t>
            </w:r>
          </w:p>
        </w:tc>
      </w:tr>
      <w:tr>
        <w:trPr>
          <w:cantSplit/>
        </w:trPr>
        <w:tc>
          <w:tcPr>
            <w:tcW w:type="dxa" w:w="24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Orange : −10 à −25 %</w:t>
            </w:r>
          </w:p>
        </w:tc>
        <w:tc>
          <w:tcPr>
            <w:tcW w:type="dxa" w:w="44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Dividendes -&gt; Safety.</w:t>
            </w:r>
          </w:p>
        </w:tc>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100 %, sans bonus.</w:t>
            </w:r>
          </w:p>
        </w:tc>
      </w:tr>
      <w:tr>
        <w:trPr>
          <w:cantSplit/>
        </w:trPr>
        <w:tc>
          <w:tcPr>
            <w:tcW w:type="dxa" w:w="24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Rouge : −25 à −50 %</w:t>
            </w:r>
          </w:p>
        </w:tc>
        <w:tc>
          <w:tcPr>
            <w:tcW w:type="dxa" w:w="44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Dividendes -&gt; Safety -&gt; Lombard.</w:t>
            </w:r>
          </w:p>
        </w:tc>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Réduction discrétionnaire possible.</w:t>
            </w:r>
          </w:p>
        </w:tc>
      </w:tr>
      <w:tr>
        <w:trPr>
          <w:cantSplit/>
        </w:trPr>
        <w:tc>
          <w:tcPr>
            <w:tcW w:type="dxa" w:w="24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Noir : &lt; −50 %</w:t>
            </w:r>
          </w:p>
        </w:tc>
        <w:tc>
          <w:tcPr>
            <w:tcW w:type="dxa" w:w="44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Dividendes -&gt; Safety -&gt; Lombard -&gt; dernier recours.</w:t>
            </w:r>
          </w:p>
        </w:tc>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Plancher essentiel.</w:t>
            </w:r>
          </w:p>
        </w:tc>
      </w:tr>
    </w:tbl>
    <w:p>
      <w:pPr>
        <w:keepNext w:val="0"/>
        <w:spacing w:after="40"/>
      </w:pPr>
    </w:p>
    <w:p>
      <w:pPr>
        <w:keepNext w:val="0"/>
      </w:pPr>
      <w:r>
        <w:t>En année favorable : dépenses normales -&gt; remboursement Lombard -&gt; recharge Safety -&gt; restauration Income -&gt; bonus -&gt; tout le reste demeure dans Growth.</w:t>
      </w:r>
    </w:p>
    <w:p>
      <w:pPr>
        <w:keepNext w:val="0"/>
      </w:pPr>
      <w:r>
        <w:t>Bonus : point de départ de 20 à 25 % de la nouvelle richesse réelle au-dessus du high-water mark corrigé de 4 % d’inflation, plafonné à environ une année de budget normal. Aucun bonus pendant une simple récupération.</w:t>
      </w:r>
    </w:p>
    <w:p>
      <w:pPr>
        <w:keepNext w:val="0"/>
      </w:pPr>
      <w:r>
        <w:t>Règle de non-intervention : si le cash est suffisant, le Lombard nul, Growth dans ses bandes et les thèses intactes, ne rien faire.</w:t>
      </w:r>
    </w:p>
    <w:p>
      <w:pPr>
        <w:pStyle w:val="CoverViewSmall"/>
        <w:keepNext w:val="0"/>
      </w:pPr>
      <w:r>
        <w:t>À spécifier avant exécution : base du drawdown, inclusivité des frontières, dernier recours, traitement des apports/retraits dans le high-water mark, cadence des arbitrages et lien entre l’indexation de 4 % et l’inflation personnalisée. Ces précisions ne sont pas fournies par [RET-1].</w:t>
      </w:r>
    </w:p>
    <w:p>
      <w:pPr>
        <w:pStyle w:val="Heading1"/>
        <w:keepNext/>
      </w:pPr>
      <w:r>
        <w:t>R9. Rente LPP, capital et mix</w:t>
      </w:r>
    </w:p>
    <w:p>
      <w:pPr>
        <w:pStyle w:val="CoverViewSmall"/>
        <w:keepNext w:val="0"/>
      </w:pPr>
      <w:r>
        <w:t>Source : [RET-1, p. 5, section 9].</w:t>
      </w:r>
    </w:p>
    <w:tbl>
      <w:tblPr>
        <w:tblStyle w:val="TableGrid"/>
        <w:tblW w:type="auto" w:w="0"/>
        <w:jc w:val="center"/>
        <w:tblLayout w:type="fixed"/>
        <w:tblLook w:firstColumn="1" w:firstRow="1" w:lastColumn="0" w:lastRow="0" w:noHBand="0" w:noVBand="1" w:val="04A0"/>
      </w:tblPr>
      <w:tblGrid>
        <w:gridCol w:w="1996"/>
        <w:gridCol w:w="3792"/>
        <w:gridCol w:w="4191"/>
      </w:tblGrid>
      <w:tr>
        <w:trPr>
          <w:cantSplit/>
          <w:tblHeader/>
        </w:trPr>
        <w:tc>
          <w:tcPr>
            <w:tcW w:type="dxa" w:w="1996"/>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Dimension</w:t>
            </w:r>
          </w:p>
        </w:tc>
        <w:tc>
          <w:tcPr>
            <w:tcW w:type="dxa" w:w="3792"/>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Rente</w:t>
            </w:r>
          </w:p>
        </w:tc>
        <w:tc>
          <w:tcPr>
            <w:tcW w:type="dxa" w:w="4191"/>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Capital / Cascade</w:t>
            </w:r>
          </w:p>
        </w:tc>
      </w:tr>
      <w:tr>
        <w:trPr>
          <w:cantSplit/>
        </w:trPr>
        <w:tc>
          <w:tcPr>
            <w:tcW w:type="dxa" w:w="199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Longévité</w:t>
            </w:r>
          </w:p>
        </w:tc>
        <w:tc>
          <w:tcPr>
            <w:tcW w:type="dxa" w:w="37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Protection très forte.</w:t>
            </w:r>
          </w:p>
        </w:tc>
        <w:tc>
          <w:tcPr>
            <w:tcW w:type="dxa" w:w="41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Le portefeuille finance toute la durée de vie.</w:t>
            </w:r>
          </w:p>
        </w:tc>
      </w:tr>
      <w:tr>
        <w:trPr>
          <w:cantSplit/>
        </w:trPr>
        <w:tc>
          <w:tcPr>
            <w:tcW w:type="dxa" w:w="199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Inflation</w:t>
            </w:r>
          </w:p>
        </w:tc>
        <w:tc>
          <w:tcPr>
            <w:tcW w:type="dxa" w:w="37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Risque d’érosion si nominale.</w:t>
            </w:r>
          </w:p>
        </w:tc>
        <w:tc>
          <w:tcPr>
            <w:tcW w:type="dxa" w:w="4191"/>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Potentiel de croissance réelle.</w:t>
            </w:r>
          </w:p>
        </w:tc>
      </w:tr>
      <w:tr>
        <w:trPr>
          <w:cantSplit/>
        </w:trPr>
        <w:tc>
          <w:tcPr>
            <w:tcW w:type="dxa" w:w="199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Marchés</w:t>
            </w:r>
          </w:p>
        </w:tc>
        <w:tc>
          <w:tcPr>
            <w:tcW w:type="dxa" w:w="37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Faible exposition directe.</w:t>
            </w:r>
          </w:p>
        </w:tc>
        <w:tc>
          <w:tcPr>
            <w:tcW w:type="dxa" w:w="41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Sequence risk et volatilité.</w:t>
            </w:r>
          </w:p>
        </w:tc>
      </w:tr>
      <w:tr>
        <w:trPr>
          <w:cantSplit/>
        </w:trPr>
        <w:tc>
          <w:tcPr>
            <w:tcW w:type="dxa" w:w="199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Transmission</w:t>
            </w:r>
          </w:p>
        </w:tc>
        <w:tc>
          <w:tcPr>
            <w:tcW w:type="dxa" w:w="37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Selon survivants et règlement.</w:t>
            </w:r>
          </w:p>
        </w:tc>
        <w:tc>
          <w:tcPr>
            <w:tcW w:type="dxa" w:w="4191"/>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Capital résiduel transmissible.</w:t>
            </w:r>
          </w:p>
        </w:tc>
      </w:tr>
      <w:tr>
        <w:trPr>
          <w:cantSplit/>
        </w:trPr>
        <w:tc>
          <w:tcPr>
            <w:tcW w:type="dxa" w:w="199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Flexibilité</w:t>
            </w:r>
          </w:p>
        </w:tc>
        <w:tc>
          <w:tcPr>
            <w:tcW w:type="dxa" w:w="37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Faible.</w:t>
            </w:r>
          </w:p>
        </w:tc>
        <w:tc>
          <w:tcPr>
            <w:tcW w:type="dxa" w:w="4191"/>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Élevée.</w:t>
            </w:r>
          </w:p>
        </w:tc>
      </w:tr>
    </w:tbl>
    <w:p>
      <w:pPr>
        <w:keepNext w:val="0"/>
        <w:spacing w:after="40"/>
      </w:pPr>
    </w:p>
    <w:p>
      <w:pPr>
        <w:keepNext w:val="0"/>
      </w:pPr>
      <w:r>
        <w:t>Le moteur teste les mixes autorisés par la caisse. La rente partielle est calculée avec les paramètres réels de conversion, pas par une simple règle de trois. Le mix peut utiliser AVS + rente LPP comme survival floor et laisser le capital financer confort, croissance, dépendance et transmission.</w:t>
      </w:r>
    </w:p>
    <w:p>
      <w:pPr>
        <w:keepNext w:val="0"/>
      </w:pPr>
      <w:r>
        <w:t>Raccordement proposé : les règles et paramètres de la caisse sont sourcés et datés, puis liés aux droits du membre du foyer concerné. Un certificat manquant déclenche une demande documentaire ou une tâche de vérification ; il n’est pas remplacé silencieusement par l’estimation rapide AVS + LPP de 60 %.</w:t>
      </w:r>
    </w:p>
    <w:p>
      <w:pPr>
        <w:pStyle w:val="Heading1"/>
        <w:keepNext/>
      </w:pPr>
      <w:r>
        <w:t>R10. Monte-Carlo et optimisation</w:t>
      </w:r>
    </w:p>
    <w:p>
      <w:pPr>
        <w:pStyle w:val="CoverViewSmall"/>
        <w:keepNext w:val="0"/>
      </w:pPr>
      <w:r>
        <w:t>Source : [RET-1, p. 5, section 10].</w:t>
      </w:r>
    </w:p>
    <w:p>
      <w:pPr>
        <w:keepNext w:val="0"/>
      </w:pPr>
      <w:r>
        <w:t>Le moteur Retire cible 100’000 trajectoires pour stabiliser les queues de distribution et combine simulation statistique, bootstrap historique et scénarios forcés. Il s’agit de l’objectif méthodologique du document source, non d’une démonstration de convergence déjà réalisée.</w:t>
      </w:r>
    </w:p>
    <w:tbl>
      <w:tblPr>
        <w:tblStyle w:val="TableGrid"/>
        <w:tblW w:type="auto" w:w="0"/>
        <w:jc w:val="center"/>
        <w:tblLayout w:type="fixed"/>
        <w:tblLook w:firstColumn="1" w:firstRow="1" w:lastColumn="0" w:lastRow="0" w:noHBand="0" w:noVBand="1" w:val="04A0"/>
      </w:tblPr>
      <w:tblGrid>
        <w:gridCol w:w="2295"/>
        <w:gridCol w:w="7683"/>
      </w:tblGrid>
      <w:tr>
        <w:trPr>
          <w:cantSplit/>
          <w:tblHeader/>
        </w:trPr>
        <w:tc>
          <w:tcPr>
            <w:tcW w:type="dxa" w:w="229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Famille de variables</w:t>
            </w:r>
          </w:p>
        </w:tc>
        <w:tc>
          <w:tcPr>
            <w:tcW w:type="dxa" w:w="768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Contenu demandé</w:t>
            </w:r>
          </w:p>
        </w:tc>
      </w:tr>
      <w:tr>
        <w:trPr>
          <w:cantSplit/>
        </w:trPr>
        <w:tc>
          <w:tcPr>
            <w:tcW w:type="dxa" w:w="22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Marchés</w:t>
            </w:r>
          </w:p>
        </w:tc>
        <w:tc>
          <w:tcPr>
            <w:tcW w:type="dxa" w:w="76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Rendements, volatilités, corrélations, drawdowns, récupérations et dividendes.</w:t>
            </w:r>
          </w:p>
        </w:tc>
      </w:tr>
      <w:tr>
        <w:trPr>
          <w:cantSplit/>
        </w:trPr>
        <w:tc>
          <w:tcPr>
            <w:tcW w:type="dxa" w:w="22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Macro</w:t>
            </w:r>
          </w:p>
        </w:tc>
        <w:tc>
          <w:tcPr>
            <w:tcW w:type="dxa" w:w="76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Inflation, taux Lombard, devises si utiles.</w:t>
            </w:r>
          </w:p>
        </w:tc>
      </w:tr>
      <w:tr>
        <w:trPr>
          <w:cantSplit/>
        </w:trPr>
        <w:tc>
          <w:tcPr>
            <w:tcW w:type="dxa" w:w="22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Vie</w:t>
            </w:r>
          </w:p>
        </w:tc>
        <w:tc>
          <w:tcPr>
            <w:tcW w:type="dxa" w:w="768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Longévité, couple, ordre des décès, dépendance et EMS.</w:t>
            </w:r>
          </w:p>
        </w:tc>
      </w:tr>
      <w:tr>
        <w:trPr>
          <w:cantSplit/>
        </w:trPr>
        <w:tc>
          <w:tcPr>
            <w:tcW w:type="dxa" w:w="22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Décision</w:t>
            </w:r>
          </w:p>
        </w:tc>
        <w:tc>
          <w:tcPr>
            <w:tcW w:type="dxa" w:w="768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Rente/capital, budgets, héritage cible et règles Growth Cascade.</w:t>
            </w:r>
          </w:p>
        </w:tc>
      </w:tr>
    </w:tbl>
    <w:p>
      <w:pPr>
        <w:keepNext w:val="0"/>
        <w:spacing w:after="40"/>
      </w:pPr>
    </w:p>
    <w:p>
      <w:pPr>
        <w:pStyle w:val="ListBullet"/>
        <w:keepNext w:val="0"/>
      </w:pPr>
      <w:r>
        <w:t>Stress historiques : 2000–2002 et 2008.</w:t>
      </w:r>
    </w:p>
    <w:p>
      <w:pPr>
        <w:pStyle w:val="ListBullet"/>
        <w:keepNext w:val="0"/>
      </w:pPr>
      <w:r>
        <w:t>Inflation élevée et décennie médiocre.</w:t>
      </w:r>
    </w:p>
    <w:p>
      <w:pPr>
        <w:pStyle w:val="ListBullet"/>
        <w:keepNext w:val="0"/>
      </w:pPr>
      <w:r>
        <w:t>Hausse puis crash, crash tardif, longévité 100+.</w:t>
      </w:r>
    </w:p>
    <w:p>
      <w:pPr>
        <w:pStyle w:val="ListBullet"/>
        <w:keepNext w:val="0"/>
      </w:pPr>
      <w:r>
        <w:t>Baisse des dividendes et contraction du Lombard.</w:t>
      </w:r>
    </w:p>
    <w:p>
      <w:pPr>
        <w:keepNext w:val="0"/>
      </w:pPr>
      <w:r>
        <w:t>L’optimisation cherche le revenu réel ou la valeur économique à vie sous contraintes de couverture des dépenses essentielles, risque de ruine, vente forcée, marge Lombard et objectif de transmission. Elle calcule le mix rente/capital efficient et le taux de conversion break-even.</w:t>
      </w:r>
    </w:p>
    <w:p>
      <w:pPr>
        <w:keepNext w:val="0"/>
      </w:pPr>
      <w:r>
        <w:t>Raccordement proposé : la simulation générale à 10’000 et la cible Retire à 100’000 sont deux profils du même Simulation Engine. Le moteur enregistre la méthode réellement exécutée, les scénarios forcés, les hypothèses et les versions. Un stress forcé n’est pas présenté comme une observation aléatoire du Monte-Carlo sans convention de pondération explicitement définie.</w:t>
      </w:r>
    </w:p>
    <w:p>
      <w:pPr>
        <w:keepNext w:val="0"/>
      </w:pPr>
      <w:r>
        <w:t>Le PDF ne fournit pas les distributions, la fréquence de calcul, la calibration, les poids des stress ni la définition formelle complète des objectifs. Ces éléments restent des décisions de modèle (R16). Les seuils 80 / 90 / 95 / 99 % ne doivent pas être assimilés au niveau de confiance de 50 % servant au Target Age du parcours 3P.</w:t>
      </w:r>
    </w:p>
    <w:p>
      <w:pPr>
        <w:pStyle w:val="Heading1"/>
        <w:keepNext/>
      </w:pPr>
      <w:r>
        <w:t>R11. Business model et services</w:t>
      </w:r>
    </w:p>
    <w:p>
      <w:pPr>
        <w:pStyle w:val="CoverViewSmall"/>
        <w:keepNext w:val="0"/>
      </w:pPr>
      <w:r>
        <w:t>Source : [RET-1, p. 6, section 11]. Prix du document stratégique ; conditions commerciales détaillées à valider.</w:t>
      </w:r>
    </w:p>
    <w:tbl>
      <w:tblPr>
        <w:tblStyle w:val="TableGrid"/>
        <w:tblW w:type="auto" w:w="0"/>
        <w:jc w:val="center"/>
        <w:tblLayout w:type="fixed"/>
        <w:tblLook w:firstColumn="1" w:firstRow="1" w:lastColumn="0" w:lastRow="0" w:noHBand="0" w:noVBand="1" w:val="04A0"/>
      </w:tblPr>
      <w:tblGrid>
        <w:gridCol w:w="3093"/>
        <w:gridCol w:w="2295"/>
        <w:gridCol w:w="4590"/>
      </w:tblGrid>
      <w:tr>
        <w:trPr>
          <w:cantSplit/>
          <w:tblHeader/>
        </w:trPr>
        <w:tc>
          <w:tcPr>
            <w:tcW w:type="dxa" w:w="30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Offre</w:t>
            </w:r>
          </w:p>
        </w:tc>
        <w:tc>
          <w:tcPr>
            <w:tcW w:type="dxa" w:w="229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Prix prévu</w:t>
            </w:r>
          </w:p>
        </w:tc>
        <w:tc>
          <w:tcPr>
            <w:tcW w:type="dxa" w:w="4590"/>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Rôle</w:t>
            </w:r>
          </w:p>
        </w:tc>
      </w:tr>
      <w:tr>
        <w:trPr>
          <w:cantSplit/>
        </w:trPr>
        <w:tc>
          <w:tcPr>
            <w:tcW w:type="dxa" w:w="30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Wallet + Retirement Check</w:t>
            </w:r>
          </w:p>
        </w:tc>
        <w:tc>
          <w:tcPr>
            <w:tcW w:type="dxa" w:w="22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Gratuit</w:t>
            </w:r>
          </w:p>
        </w:tc>
        <w:tc>
          <w:tcPr>
            <w:tcW w:type="dxa" w:w="45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Acquisition et première valeur.</w:t>
            </w:r>
          </w:p>
        </w:tc>
      </w:tr>
      <w:tr>
        <w:trPr>
          <w:cantSplit/>
        </w:trPr>
        <w:tc>
          <w:tcPr>
            <w:tcW w:type="dxa" w:w="30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Plan</w:t>
            </w:r>
          </w:p>
        </w:tc>
        <w:tc>
          <w:tcPr>
            <w:tcW w:type="dxa" w:w="22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CHF 390</w:t>
            </w:r>
          </w:p>
        </w:tc>
        <w:tc>
          <w:tcPr>
            <w:tcW w:type="dxa" w:w="45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Analyse numérique complète et permanente dans Wallet.</w:t>
            </w:r>
          </w:p>
        </w:tc>
      </w:tr>
      <w:tr>
        <w:trPr>
          <w:cantSplit/>
        </w:trPr>
        <w:tc>
          <w:tcPr>
            <w:tcW w:type="dxa" w:w="30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Strategy</w:t>
            </w:r>
          </w:p>
        </w:tc>
        <w:tc>
          <w:tcPr>
            <w:tcW w:type="dxa" w:w="22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CHF 1’290</w:t>
            </w:r>
          </w:p>
        </w:tc>
        <w:tc>
          <w:tcPr>
            <w:tcW w:type="dxa" w:w="45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 + expert ; CHF 390 déjà payés déduits.</w:t>
            </w:r>
          </w:p>
        </w:tc>
      </w:tr>
      <w:tr>
        <w:trPr>
          <w:cantSplit/>
        </w:trPr>
        <w:tc>
          <w:tcPr>
            <w:tcW w:type="dxa" w:w="30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Care</w:t>
            </w:r>
          </w:p>
        </w:tc>
        <w:tc>
          <w:tcPr>
            <w:tcW w:type="dxa" w:w="229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CHF 290/an/foyer</w:t>
            </w:r>
          </w:p>
        </w:tc>
        <w:tc>
          <w:tcPr>
            <w:tcW w:type="dxa" w:w="45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Monitoring, recalculs et alertes.</w:t>
            </w:r>
          </w:p>
        </w:tc>
      </w:tr>
      <w:tr>
        <w:trPr>
          <w:cantSplit/>
        </w:trPr>
        <w:tc>
          <w:tcPr>
            <w:tcW w:type="dxa" w:w="30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Annual / Event Review</w:t>
            </w:r>
          </w:p>
        </w:tc>
        <w:tc>
          <w:tcPr>
            <w:tcW w:type="dxa" w:w="229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CHF 290</w:t>
            </w:r>
          </w:p>
        </w:tc>
        <w:tc>
          <w:tcPr>
            <w:tcW w:type="dxa" w:w="45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Revue humaine ponctuelle.</w:t>
            </w:r>
          </w:p>
        </w:tc>
      </w:tr>
    </w:tbl>
    <w:p>
      <w:pPr>
        <w:keepNext w:val="0"/>
        <w:spacing w:after="40"/>
      </w:pPr>
    </w:p>
    <w:p>
      <w:pPr>
        <w:keepNext w:val="0"/>
      </w:pPr>
      <w:r>
        <w:t>Funnel cible : trafic -&gt; Check gratuit -&gt; Plan CHF 390 -&gt; Strategy + CHF 900 -&gt; Care -&gt; revues événementielles -&gt; relation CoverView plus large.</w:t>
      </w:r>
    </w:p>
    <w:p>
      <w:pPr>
        <w:keepNext w:val="0"/>
      </w:pPr>
      <w:r>
        <w:t>Pour les clients CoverView à forte valeur vie, Care peut être inclus afin de maximiser la rétention, la centralisation et le cross-sell plutôt que de facturer CHF 290 supplémentaires.</w:t>
      </w:r>
    </w:p>
    <w:p>
      <w:pPr>
        <w:keepNext w:val="0"/>
      </w:pPr>
      <w:r>
        <w:t>Le document impose de ne pas transformer Wallet en catalogue de paywalls et de ne pas facturer chaque simulation après achat. La distinction entre analyse permanente, recalculs inclus dans Plan et monitoring sous Care reste à définir contractuellement ; elle n’est pas résolue ici par une restriction inventée.</w:t>
      </w:r>
    </w:p>
    <w:p>
      <w:pPr>
        <w:pStyle w:val="Heading2"/>
        <w:keepNext/>
      </w:pPr>
      <w:r>
        <w:t>R11.1 Raccordement commercial proposé</w:t>
      </w:r>
    </w:p>
    <w:p>
      <w:pPr>
        <w:keepNext w:val="0"/>
      </w:pPr>
      <w:r>
        <w:t>Admin gère les offres et versions de prix, les commandes, paiements et abonnements. Les droits d’accès sont portés par le service commun d’entitlements. Une montée de Plan vers Strategy applique une fois le crédit de CHF 390 ; l’analyse demeure le même objet Wallet. L’inclusion de Care est un droit explicite avec motif et durée, pas un encaissement fictif.</w:t>
      </w:r>
    </w:p>
    <w:p>
      <w:pPr>
        <w:keepNext w:val="0"/>
      </w:pPr>
      <w:r>
        <w:t>Les revenus Retire rejoignent les dashboards existants, distincts des commissions d’assurance. Le coût des revues humaines et du calcul peut être suivi pour mesurer la marge. L’éligibilité de Retire aux Miles, aux rewards ou aux remises partenaires n’est pas fixée par [RET-1] ; aucun barème n’est ajouté par défaut.</w:t>
      </w:r>
    </w:p>
    <w:p>
      <w:pPr>
        <w:pStyle w:val="Heading1"/>
        <w:keepNext/>
      </w:pPr>
      <w:r>
        <w:t>R12. Guidelines, validations et roadmap</w:t>
      </w:r>
    </w:p>
    <w:p>
      <w:pPr>
        <w:pStyle w:val="CoverViewSmall"/>
        <w:keepNext w:val="0"/>
      </w:pPr>
      <w:r>
        <w:t>Source : [RET-1, p. 6, section 12].</w:t>
      </w:r>
    </w:p>
    <w:p>
      <w:pPr>
        <w:pStyle w:val="ListBullet"/>
        <w:keepNext w:val="0"/>
      </w:pPr>
      <w:r>
        <w:t>Donner de la valeur avant de demander un compte ; ne pas transformer Wallet en catalogue de paywalls ; ne pas facturer chaque simulation après achat.</w:t>
      </w:r>
    </w:p>
    <w:p>
      <w:pPr>
        <w:pStyle w:val="ListBullet"/>
        <w:keepNext w:val="0"/>
      </w:pPr>
      <w:r>
        <w:t>Exprimer les résultats en décisions avant les statistiques ; distinguer montants réels et nominaux ainsi que budget essentiel, confort et idéal.</w:t>
      </w:r>
    </w:p>
    <w:p>
      <w:pPr>
        <w:pStyle w:val="ListBullet"/>
        <w:keepNext w:val="0"/>
      </w:pPr>
      <w:r>
        <w:t>Séparer faits, hypothèses, probabilités et recommandations ; montrer pourquoi une stratégie gagne et pourquoi elle perd ; rendre visibles les risques de queue.</w:t>
      </w:r>
    </w:p>
    <w:p>
      <w:pPr>
        <w:pStyle w:val="ListBullet"/>
        <w:keepNext w:val="0"/>
      </w:pPr>
      <w:r>
        <w:t>Utiliser le foyer comme unité économique principale ; ne jamais présenter rendement ou probabilité comme garantis ; conserver l’audit trail des hypothèses, données, règles, versions et décisions.</w:t>
      </w:r>
    </w:p>
    <w:p>
      <w:pPr>
        <w:keepNext w:val="0"/>
      </w:pPr>
      <w:r>
        <w:t>Avant commercialisation, le document demande de valider le périmètre réglementaire applicable, la formulation des recommandations personnalisées, l’usage du Lombard, la fiscalité, les règles propres aux caisses LPP, les prestations survivants et les hypothèses EMS / prestations complémentaires.</w:t>
      </w:r>
    </w:p>
    <w:tbl>
      <w:tblPr>
        <w:tblStyle w:val="TableGrid"/>
        <w:tblW w:type="auto" w:w="0"/>
        <w:jc w:val="center"/>
        <w:tblLayout w:type="fixed"/>
        <w:tblLook w:firstColumn="1" w:firstRow="1" w:lastColumn="0" w:lastRow="0" w:noHBand="0" w:noVBand="1" w:val="04A0"/>
      </w:tblPr>
      <w:tblGrid>
        <w:gridCol w:w="2993"/>
        <w:gridCol w:w="6985"/>
      </w:tblGrid>
      <w:tr>
        <w:trPr>
          <w:cantSplit/>
          <w:tblHeader/>
        </w:trPr>
        <w:tc>
          <w:tcPr>
            <w:tcW w:type="dxa" w:w="29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Phase Retire</w:t>
            </w:r>
          </w:p>
        </w:tc>
        <w:tc>
          <w:tcPr>
            <w:tcW w:type="dxa" w:w="698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Livrables du document source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 — Decision Engine</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Rente/capital/mix, Retirement Range, Monte-Carlo, inflation, longévité, stress tests, Wallet.</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2 — Life Engine</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Couple, survivants, EMS, immobilier, succession, budgets par phase.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3 — Capital Engine</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Growth Cascade, Income, Safety, Lombard, arbitrages, look-through ETF.</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4 — Monitoring</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Recalculs, alertes, historique, événements, Retirement Care.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5 — Distribution</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SEO, partenaires, employeurs, puis API / white-label B2B après validation sur cas réels.</w:t>
            </w:r>
          </w:p>
        </w:tc>
      </w:tr>
    </w:tbl>
    <w:p>
      <w:pPr>
        <w:keepNext w:val="0"/>
        <w:spacing w:after="40"/>
      </w:pPr>
    </w:p>
    <w:p>
      <w:pPr>
        <w:keepNext w:val="0"/>
      </w:pPr>
      <w:r>
        <w:t>Cette roadmap est la trajectoire propre à Retire. Elle s’articule avec les fondations, les moteurs retraite, le CRM et le suivi de la roadmap générale ; elle ne signifie pas que toutes les capacités du Retirement Plan sont disponibles dès la phase 1. Le périmètre vendable et le niveau du stress EMS à chaque phase restent à valider.</w:t>
      </w:r>
    </w:p>
    <w:p>
      <w:pPr>
        <w:pStyle w:val="Heading1"/>
        <w:keepNext/>
      </w:pPr>
      <w:r>
        <w:t>R13. Vision long terme</w:t>
      </w:r>
    </w:p>
    <w:p>
      <w:pPr>
        <w:pStyle w:val="CoverViewSmall"/>
        <w:keepNext w:val="0"/>
      </w:pPr>
      <w:r>
        <w:t>Source : [RET-1, p. 7, section 13].</w:t>
      </w:r>
    </w:p>
    <w:p>
      <w:pPr>
        <w:keepNext w:val="0"/>
      </w:pPr>
      <w:r>
        <w:t>CoverView Retire doit devenir le Retirement Operating System du foyer : un modèle vivant qui connaît les actifs, revenus, niveau de vie souhaité, transmission, risques de marché, longévité et dépendance.</w:t>
      </w:r>
    </w:p>
    <w:p>
      <w:pPr>
        <w:pStyle w:val="CoverViewLead"/>
        <w:keepNext w:val="0"/>
      </w:pPr>
      <w:r>
        <w:t>La question annuelle centrale n’est pas « quelle performance ai-je faite ? » mais « puis-je continuer à vivre comme prévu, et est-ce que je peux maintenant me permettre davantage ? »</w:t>
      </w:r>
    </w:p>
    <w:p>
      <w:pPr>
        <w:pStyle w:val="Heading1"/>
        <w:keepNext/>
      </w:pPr>
      <w:r>
        <w:t>R14. Interactions avec l’écosystème</w:t>
      </w:r>
    </w:p>
    <w:p>
      <w:pPr>
        <w:pStyle w:val="CoverViewSmall"/>
        <w:keepNext w:val="0"/>
      </w:pPr>
      <w:r>
        <w:t>Raccordement proposé à partir de [RET-1] et des capacités déjà décrites dans cette bible ; les liaisons détaillées ci-dessous ne sont pas des spécifications fournies par le PDF.</w:t>
      </w:r>
    </w:p>
    <w:tbl>
      <w:tblPr>
        <w:tblStyle w:val="TableGrid"/>
        <w:tblW w:type="auto" w:w="0"/>
        <w:jc w:val="center"/>
        <w:tblLayout w:type="fixed"/>
        <w:tblLook w:firstColumn="1" w:firstRow="1" w:lastColumn="0" w:lastRow="0" w:noHBand="0" w:noVBand="1" w:val="04A0"/>
      </w:tblPr>
      <w:tblGrid>
        <w:gridCol w:w="2594"/>
        <w:gridCol w:w="7384"/>
      </w:tblGrid>
      <w:tr>
        <w:trPr>
          <w:cantSplit/>
          <w:tblHeader/>
        </w:trPr>
        <w:tc>
          <w:tcPr>
            <w:tcW w:type="dxa" w:w="2594"/>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Surface / capacité</w:t>
            </w:r>
          </w:p>
        </w:tc>
        <w:tc>
          <w:tcPr>
            <w:tcW w:type="dxa" w:w="7384"/>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Interaction Retire</w:t>
            </w:r>
          </w:p>
        </w:tc>
      </w:tr>
      <w:tr>
        <w:trPr>
          <w:cantSplit/>
        </w:trPr>
        <w:tc>
          <w:tcPr>
            <w:tcW w:type="dxa" w:w="25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Site — coverview.ch</w:t>
            </w:r>
          </w:p>
        </w:tc>
        <w:tc>
          <w:tcPr>
            <w:tcW w:type="dxa" w:w="73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Landing, Retirement Check, pédagogie, offres et première valeur ; sauvegarde vers Wallet sans ressaisie.</w:t>
            </w:r>
          </w:p>
        </w:tc>
      </w:tr>
      <w:tr>
        <w:trPr>
          <w:cantSplit/>
        </w:trPr>
        <w:tc>
          <w:tcPr>
            <w:tcW w:type="dxa" w:w="25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Wallet — Retraite</w:t>
            </w:r>
          </w:p>
        </w:tc>
        <w:tc>
          <w:tcPr>
            <w:tcW w:type="dxa" w:w="738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Aujourd’hui, Mon plan, Explorer, Stress tests, Timeline ; accès au plan acheté, aux versions et prochaines décisions.</w:t>
            </w:r>
          </w:p>
        </w:tc>
      </w:tr>
      <w:tr>
        <w:trPr>
          <w:cantSplit/>
        </w:trPr>
        <w:tc>
          <w:tcPr>
            <w:tcW w:type="dxa" w:w="25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Admin</w:t>
            </w:r>
          </w:p>
        </w:tc>
        <w:tc>
          <w:tcPr>
            <w:tcW w:type="dxa" w:w="73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Paramétrage, sources LPP / EMS, hypothèses, bandes Cascade, prix, droits, dossiers Plan / Strategy / Review, prochaines actions et dashboards.</w:t>
            </w:r>
          </w:p>
        </w:tc>
      </w:tr>
      <w:tr>
        <w:trPr>
          <w:cantSplit/>
        </w:trPr>
        <w:tc>
          <w:tcPr>
            <w:tcW w:type="dxa" w:w="25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Intelligence</w:t>
            </w:r>
          </w:p>
        </w:tc>
        <w:tc>
          <w:tcPr>
            <w:tcW w:type="dxa" w:w="738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Recherche et validation professionnelle : univers, données, backtests, look-through, stress, méthodes et simulations communes.</w:t>
            </w:r>
          </w:p>
        </w:tc>
      </w:tr>
      <w:tr>
        <w:trPr>
          <w:cantSplit/>
        </w:trPr>
        <w:tc>
          <w:tcPr>
            <w:tcW w:type="dxa" w:w="25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Partners</w:t>
            </w:r>
          </w:p>
        </w:tc>
        <w:tc>
          <w:tcPr>
            <w:tcW w:type="dxa" w:w="73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Distribution, leads et suivi commercial limité ; canal employeurs / B2B ultérieur. Pas d’accès automatique au patrimoine du foyer.</w:t>
            </w:r>
          </w:p>
        </w:tc>
      </w:tr>
      <w:tr>
        <w:trPr>
          <w:cantSplit/>
        </w:trPr>
        <w:tc>
          <w:tcPr>
            <w:tcW w:type="dxa" w:w="25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LPP, documents et signatures</w:t>
            </w:r>
          </w:p>
        </w:tc>
        <w:tc>
          <w:tcPr>
            <w:tcW w:type="dxa" w:w="738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Réutilisation des avoirs retrouvés et des certificats ; demande de pièces manquantes ; décisions soumises aux règles de mandat et de confirmation.</w:t>
            </w:r>
          </w:p>
        </w:tc>
      </w:tr>
      <w:tr>
        <w:trPr>
          <w:cantSplit/>
        </w:trPr>
        <w:tc>
          <w:tcPr>
            <w:tcW w:type="dxa" w:w="25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CRM, Gmail, Calendar et Kanban</w:t>
            </w:r>
          </w:p>
        </w:tc>
        <w:tc>
          <w:tcPr>
            <w:tcW w:type="dxa" w:w="73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Un plan ou une revue devient un dossier avec responsable, statut, pièces, tâche et rendez-vous ; échanges rattachés au même foyer.</w:t>
            </w:r>
          </w:p>
        </w:tc>
      </w:tr>
      <w:tr>
        <w:trPr>
          <w:cantSplit/>
        </w:trPr>
        <w:tc>
          <w:tcPr>
            <w:tcW w:type="dxa" w:w="259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Copilote IA</w:t>
            </w:r>
          </w:p>
        </w:tc>
        <w:tc>
          <w:tcPr>
            <w:tcW w:type="dxa" w:w="7384"/>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Expliquer un résultat et préparer un scénario ou une tâche avec références ; calcul réalisé par les moteurs, jamais inventé dans le texte du chat.</w:t>
            </w:r>
          </w:p>
        </w:tc>
      </w:tr>
      <w:tr>
        <w:trPr>
          <w:cantSplit/>
        </w:trPr>
        <w:tc>
          <w:tcPr>
            <w:tcW w:type="dxa" w:w="259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Miles, carte et avantages</w:t>
            </w:r>
          </w:p>
        </w:tc>
        <w:tc>
          <w:tcPr>
            <w:tcW w:type="dxa" w:w="7384"/>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Réutilisation éventuelle des droits et accès existants ; aucune récompense ou remise Retire automatique sans règle validée.</w:t>
            </w:r>
          </w:p>
        </w:tc>
      </w:tr>
    </w:tbl>
    <w:p>
      <w:pPr>
        <w:keepNext w:val="0"/>
        <w:spacing w:after="40"/>
      </w:pPr>
    </w:p>
    <w:p>
      <w:pPr>
        <w:pStyle w:val="Heading2"/>
        <w:keepNext/>
      </w:pPr>
      <w:r>
        <w:t>R14.1 Exemple de bout en bout</w:t>
      </w:r>
    </w:p>
    <w:p>
      <w:pPr>
        <w:keepNext w:val="0"/>
      </w:pPr>
      <w:r>
        <w:t>1. Un foyer arrive sur la landing et renseigne son niveau de vie souhaité, ses revenus et son patrimoine.</w:t>
      </w:r>
    </w:p>
    <w:p>
      <w:pPr>
        <w:keepNext w:val="0"/>
      </w:pPr>
      <w:r>
        <w:t>2. Le Check fournit un premier revenu estimé et un gap ; le foyer sauvegarde dans Wallet.</w:t>
      </w:r>
    </w:p>
    <w:p>
      <w:pPr>
        <w:keepNext w:val="0"/>
      </w:pPr>
      <w:r>
        <w:t>3. Les contrats et certificats déjà présents sont réutilisés. Les informations manquantes deviennent des tâches ou demandes documentaires.</w:t>
      </w:r>
    </w:p>
    <w:p>
      <w:pPr>
        <w:keepNext w:val="0"/>
      </w:pPr>
      <w:r>
        <w:t>4. L’achat de Plan donne accès au résultat détaillé selon le périmètre effectivement disponible ; les options rente/capital/mix sont testées avec les règles de caisse.</w:t>
      </w:r>
    </w:p>
    <w:p>
      <w:pPr>
        <w:keepNext w:val="0"/>
      </w:pPr>
      <w:r>
        <w:t>5. Le foyer explore les budgets, la dépendance et les stress ; toute variation produit un scénario identifiable, non un remplacement silencieux du plan.</w:t>
      </w:r>
    </w:p>
    <w:p>
      <w:pPr>
        <w:keepNext w:val="0"/>
      </w:pPr>
      <w:r>
        <w:t>6. La montée vers Strategy applique le crédit prévu et crée le dossier expert, ses tâches et son rendez-vous.</w:t>
      </w:r>
    </w:p>
    <w:p>
      <w:pPr>
        <w:keepNext w:val="0"/>
      </w:pPr>
      <w:r>
        <w:t>7. La décision validée est conservée ; Care surveille les données et ouvre une alerte ou une revue lorsque les règles le prévoient.</w:t>
      </w:r>
    </w:p>
    <w:p>
      <w:pPr>
        <w:keepNext w:val="0"/>
      </w:pPr>
      <w:r>
        <w:t>8. Une revue humaine ponctuelle reste un service distinct. Le nouveau plan et l’ancien restent comparables dans la timeline.</w:t>
      </w:r>
    </w:p>
    <w:p>
      <w:pPr>
        <w:pStyle w:val="Heading1"/>
        <w:keepNext/>
      </w:pPr>
      <w:r>
        <w:t>R15. Modèle commun, calculs et automatisations</w:t>
      </w:r>
    </w:p>
    <w:p>
      <w:pPr>
        <w:pStyle w:val="CoverViewSmall"/>
        <w:keepNext w:val="0"/>
      </w:pPr>
      <w:r>
        <w:t>Raccordement technique proposé. Noms d’objets, routes et événements indicatifs ; à préciser dans les spécifications de développement.</w:t>
      </w:r>
    </w:p>
    <w:tbl>
      <w:tblPr>
        <w:tblStyle w:val="TableGrid"/>
        <w:tblW w:type="auto" w:w="0"/>
        <w:jc w:val="center"/>
        <w:tblLayout w:type="fixed"/>
        <w:tblLook w:firstColumn="1" w:firstRow="1" w:lastColumn="0" w:lastRow="0" w:noHBand="0" w:noVBand="1" w:val="04A0"/>
      </w:tblPr>
      <w:tblGrid>
        <w:gridCol w:w="3692"/>
        <w:gridCol w:w="6286"/>
      </w:tblGrid>
      <w:tr>
        <w:trPr>
          <w:cantSplit/>
          <w:tblHeader/>
        </w:trPr>
        <w:tc>
          <w:tcPr>
            <w:tcW w:type="dxa" w:w="3692"/>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Objet proposé / réutilisé</w:t>
            </w:r>
          </w:p>
        </w:tc>
        <w:tc>
          <w:tcPr>
            <w:tcW w:type="dxa" w:w="6286"/>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Responsabilité et liens</w:t>
            </w:r>
          </w:p>
        </w:tc>
      </w:tr>
      <w:tr>
        <w:trPr>
          <w:cantSplit/>
        </w:trPr>
        <w:tc>
          <w:tcPr>
            <w:tcW w:type="dxa" w:w="36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Household / Client</w:t>
            </w:r>
          </w:p>
        </w:tc>
        <w:tc>
          <w:tcPr>
            <w:tcW w:type="dxa" w:w="62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Identités, membres, consentements et relations déjà canoniques ; le foyer sert d’unité de calcul, pas de droit d’accès global.</w:t>
            </w:r>
          </w:p>
        </w:tc>
      </w:tr>
      <w:tr>
        <w:trPr>
          <w:cantSplit/>
        </w:trPr>
        <w:tc>
          <w:tcPr>
            <w:tcW w:type="dxa" w:w="36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RetirementPlan / PlanVersion</w:t>
            </w:r>
          </w:p>
        </w:tc>
        <w:tc>
          <w:tcPr>
            <w:tcW w:type="dxa" w:w="62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 vivant et états immuables, liés au foyer, aux documents, aux décisions et au dossier Admin.</w:t>
            </w:r>
          </w:p>
        </w:tc>
      </w:tr>
      <w:tr>
        <w:trPr>
          <w:cantSplit/>
        </w:trPr>
        <w:tc>
          <w:tcPr>
            <w:tcW w:type="dxa" w:w="36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BudgetPhase / LifeEvent</w:t>
            </w:r>
          </w:p>
        </w:tc>
        <w:tc>
          <w:tcPr>
            <w:tcW w:type="dxa" w:w="62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Essentiel, confort, idéal ; retraite active, ralentissement, domicile, EMS, immobilier, donation et décès simulé.</w:t>
            </w:r>
          </w:p>
        </w:tc>
      </w:tr>
      <w:tr>
        <w:trPr>
          <w:cantSplit/>
        </w:trPr>
        <w:tc>
          <w:tcPr>
            <w:tcW w:type="dxa" w:w="36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PensionOption / RuleVersion</w:t>
            </w:r>
          </w:p>
        </w:tc>
        <w:tc>
          <w:tcPr>
            <w:tcW w:type="dxa" w:w="62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Options autorisées, paramètres réels de conversion, source et validité des règles de caisse.</w:t>
            </w:r>
          </w:p>
        </w:tc>
      </w:tr>
      <w:tr>
        <w:trPr>
          <w:cantSplit/>
        </w:trPr>
        <w:tc>
          <w:tcPr>
            <w:tcW w:type="dxa" w:w="36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Scenario / SimulationRun</w:t>
            </w:r>
          </w:p>
        </w:tc>
        <w:tc>
          <w:tcPr>
            <w:tcW w:type="dxa" w:w="62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Réutilisation de SavedSimulation : données, hypothèses, moteurs, N, méthode, seed, horizon, résultats et statut.</w:t>
            </w:r>
          </w:p>
        </w:tc>
      </w:tr>
      <w:tr>
        <w:trPr>
          <w:cantSplit/>
        </w:trPr>
        <w:tc>
          <w:tcPr>
            <w:tcW w:type="dxa" w:w="36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GrowthCascadePolicy</w:t>
            </w:r>
          </w:p>
        </w:tc>
        <w:tc>
          <w:tcPr>
            <w:tcW w:type="dxa" w:w="62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Référence des poches, seuils Safety, règles de flux, drawdowns, bonus et Lombard ; version immuable utilisée par le calcul.</w:t>
            </w:r>
          </w:p>
        </w:tc>
      </w:tr>
      <w:tr>
        <w:trPr>
          <w:cantSplit/>
        </w:trPr>
        <w:tc>
          <w:tcPr>
            <w:tcW w:type="dxa" w:w="3692"/>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Decision / MonitoringAlert</w:t>
            </w:r>
          </w:p>
        </w:tc>
        <w:tc>
          <w:tcPr>
            <w:tcW w:type="dxa" w:w="6286"/>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Choix validé, auteur, date et raisons ; alerte reliée au plan et à une prochaine action.</w:t>
            </w:r>
          </w:p>
        </w:tc>
      </w:tr>
      <w:tr>
        <w:trPr>
          <w:cantSplit/>
        </w:trPr>
        <w:tc>
          <w:tcPr>
            <w:tcW w:type="dxa" w:w="3692"/>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Offer / Order / Subscription / Entitlement</w:t>
            </w:r>
          </w:p>
        </w:tc>
        <w:tc>
          <w:tcPr>
            <w:tcW w:type="dxa" w:w="6286"/>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Prix versionné, paiement, crédit de montée en gamme, droit Plan / Strategy / Care et éventuelle inclusion commerciale.</w:t>
            </w:r>
          </w:p>
        </w:tc>
      </w:tr>
    </w:tbl>
    <w:p>
      <w:pPr>
        <w:keepNext w:val="0"/>
        <w:spacing w:after="40"/>
      </w:pPr>
    </w:p>
    <w:p>
      <w:pPr>
        <w:keepNext w:val="0"/>
      </w:pPr>
      <w:r>
        <w:t>Flux canonique proposé : foyer + contrats + avoirs + règles sourcées -&gt; version d’hypothèses -&gt; scénarios -&gt; SimulationRun -&gt; résultat Retire -&gt; décision -&gt; monitoring -&gt; tâche ou revue -&gt; nouvelle version. Les objets de calcul ne créent aucun compte de courtage et ne déclenchent pas, à eux seuls, un retrait LPP, un ordre de marché ou un tirage Lombard.</w:t>
      </w:r>
    </w:p>
    <w:p>
      <w:pPr>
        <w:keepNext w:val="0"/>
      </w:pPr>
      <w:r>
        <w:t>Le snapshot Retire complète le socle existant : composition autorisée du foyer, règles de caisse, budgets et dépenses remplacées, scénarios de longévité, versions de politique Cascade, N demandé / exécuté, sources de marché, méthodes et règles d’optimisation. Les simulations lourdes sont des jobs réutilisables, et le cache inclut notamment la version du plan, la politique et le profil de calcul.</w:t>
      </w:r>
    </w:p>
    <w:tbl>
      <w:tblPr>
        <w:tblStyle w:val="TableGrid"/>
        <w:tblW w:type="auto" w:w="0"/>
        <w:jc w:val="center"/>
        <w:tblLayout w:type="fixed"/>
        <w:tblLook w:firstColumn="1" w:firstRow="1" w:lastColumn="0" w:lastRow="0" w:noHBand="0" w:noVBand="1" w:val="04A0"/>
      </w:tblPr>
      <w:tblGrid>
        <w:gridCol w:w="3393"/>
        <w:gridCol w:w="6585"/>
      </w:tblGrid>
      <w:tr>
        <w:trPr>
          <w:cantSplit/>
          <w:tblHeader/>
        </w:trPr>
        <w:tc>
          <w:tcPr>
            <w:tcW w:type="dxa" w:w="33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Capacité backend</w:t>
            </w:r>
          </w:p>
        </w:tc>
        <w:tc>
          <w:tcPr>
            <w:tcW w:type="dxa" w:w="658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Responsabilité</w:t>
            </w:r>
          </w:p>
        </w:tc>
      </w:tr>
      <w:tr>
        <w:trPr>
          <w:cantSplit/>
        </w:trPr>
        <w:tc>
          <w:tcPr>
            <w:tcW w:type="dxa" w:w="33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Retirement Decision / Life</w:t>
            </w:r>
          </w:p>
        </w:tc>
        <w:tc>
          <w:tcPr>
            <w:tcW w:type="dxa" w:w="65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Rente/capital/mix, budgets par phase, longévité, couple et dépendance.</w:t>
            </w:r>
          </w:p>
        </w:tc>
      </w:tr>
      <w:tr>
        <w:trPr>
          <w:cantSplit/>
        </w:trPr>
        <w:tc>
          <w:tcPr>
            <w:tcW w:type="dxa" w:w="33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Growth Cascade / Capital</w:t>
            </w:r>
          </w:p>
        </w:tc>
        <w:tc>
          <w:tcPr>
            <w:tcW w:type="dxa" w:w="65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Flux Growth, Income, Safety, Lombard, bonus et non-intervention selon une politique versionnée.</w:t>
            </w:r>
          </w:p>
        </w:tc>
      </w:tr>
      <w:tr>
        <w:trPr>
          <w:cantSplit/>
        </w:trPr>
        <w:tc>
          <w:tcPr>
            <w:tcW w:type="dxa" w:w="33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Simulation / Strategy</w:t>
            </w:r>
          </w:p>
        </w:tc>
        <w:tc>
          <w:tcPr>
            <w:tcW w:type="dxa" w:w="65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 commun, bootstrap, stress, indicateurs et optimisation sous contraintes.</w:t>
            </w:r>
          </w:p>
        </w:tc>
      </w:tr>
      <w:tr>
        <w:trPr>
          <w:cantSplit/>
        </w:trPr>
        <w:tc>
          <w:tcPr>
            <w:tcW w:type="dxa" w:w="33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Monitoring / Workflow</w:t>
            </w:r>
          </w:p>
        </w:tc>
        <w:tc>
          <w:tcPr>
            <w:tcW w:type="dxa" w:w="65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Événements, alertes, prochaines décisions, dossier expert, revue et version suivante.</w:t>
            </w:r>
          </w:p>
        </w:tc>
      </w:tr>
      <w:tr>
        <w:trPr>
          <w:cantSplit/>
        </w:trPr>
        <w:tc>
          <w:tcPr>
            <w:tcW w:type="dxa" w:w="33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Commerce / Entitlements</w:t>
            </w:r>
          </w:p>
        </w:tc>
        <w:tc>
          <w:tcPr>
            <w:tcW w:type="dxa" w:w="65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Achat, accès, crédit Plan -&gt; Strategy, Care, inclusion commerciale et facturation séparée des simulations.</w:t>
            </w:r>
          </w:p>
        </w:tc>
      </w:tr>
    </w:tbl>
    <w:p>
      <w:pPr>
        <w:keepNext w:val="0"/>
        <w:spacing w:after="40"/>
      </w:pPr>
    </w:p>
    <w:p>
      <w:pPr>
        <w:pStyle w:val="Heading1"/>
        <w:keepNext/>
      </w:pPr>
      <w:r>
        <w:t>R16. Écarts, arbitrages et paramètres non définis</w:t>
      </w:r>
    </w:p>
    <w:p>
      <w:pPr>
        <w:pStyle w:val="CoverViewSmall"/>
        <w:keepNext w:val="0"/>
      </w:pPr>
      <w:r>
        <w:t>Registre explicite d’intégration. Les points ci-dessous ne sont pas résolus par substitution silencieuse.</w:t>
      </w:r>
    </w:p>
    <w:tbl>
      <w:tblPr>
        <w:tblStyle w:val="TableGrid"/>
        <w:tblW w:type="auto" w:w="0"/>
        <w:jc w:val="center"/>
        <w:tblLayout w:type="fixed"/>
        <w:tblLook w:firstColumn="1" w:firstRow="1" w:lastColumn="0" w:lastRow="0" w:noHBand="0" w:noVBand="1" w:val="04A0"/>
      </w:tblPr>
      <w:tblGrid>
        <w:gridCol w:w="2993"/>
        <w:gridCol w:w="6985"/>
      </w:tblGrid>
      <w:tr>
        <w:trPr>
          <w:cantSplit/>
          <w:tblHeader/>
        </w:trPr>
        <w:tc>
          <w:tcPr>
            <w:tcW w:type="dxa" w:w="2993"/>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Sujet</w:t>
            </w:r>
          </w:p>
        </w:tc>
        <w:tc>
          <w:tcPr>
            <w:tcW w:type="dxa" w:w="6985"/>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État conservé / décision nécessaire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10’000 ou 100’000 simulations</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10’000 reste le défaut général ; Retire cible 100’000. Choisir les profils d’exécution et valider coût, convergence et seuils avant d’en faire une promesse.</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50 % ou 80 / 90 / 95 / 99 %</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50 % sert au Target Age existant ; les autres niveaux concernent la soutenabilité Retire. Définir les événements de réussite et leur horizon.</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25 ans ou longévité simulée</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La durée du calcul rapide ne vaut pas modèle de durée de vie. Définir distributions, couple, décès et horizon du module Retire.</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80 / 17 / 3 versus cibles de flux</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Conserver les pondérations de référence et les missions Income / Safety. Définir priorité, initialisation et règles de recalibrage.</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Inflation de 4 % et bonus</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La bible permet une inflation personnalisée ; le PDF cite 4 % pour le high-water mark. Définir si l’indexation du bonus suit ce paramètre ou possède une règle propre.</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Plancher, recommandé, prospérité</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Aucun seuil exact n’est attribué à chaque niveau dans le PDF. Ne pas le déduire arbitrairement de 80 / 90 / 95 / 99 %.</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EMS par défaut et phases</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Stress EMS prévu par défaut, détails Life Engine en phase 2. Définir l’expérience et la disponibilité de la phase 1.</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Plan permanent, recalculs et Care</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Ne pas facturer chaque simulation après achat. Définir périmètre de recalcul, conservation des résultats, fin de Care et accès permanent.</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Indicateurs et optimisation</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Préciser fiscalité, actualisation éventuelle, coût des actifs et dettes, définition de ruine, richesse transmise, vente forcée, marge et conversion break-even.</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LPP, EMS et Lombard</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Règles de caisse, prestations survivants, coûts / prestations dépendance, conditions de ligne et validation réglementaire restent à documenter.</w:t>
            </w:r>
          </w:p>
        </w:tc>
      </w:tr>
      <w:tr>
        <w:trPr>
          <w:cantSplit/>
        </w:trPr>
        <w:tc>
          <w:tcPr>
            <w:tcW w:type="dxa" w:w="2993"/>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Tarifs et exécution</w:t>
            </w:r>
          </w:p>
        </w:tc>
        <w:tc>
          <w:tcPr>
            <w:tcW w:type="dxa" w:w="6985"/>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TVA, durée / nombre de rendez-vous, livrable expert, renouvellement, annulation et facturation non détaillés par la source.</w:t>
            </w:r>
          </w:p>
        </w:tc>
      </w:tr>
      <w:tr>
        <w:trPr>
          <w:cantSplit/>
        </w:trPr>
        <w:tc>
          <w:tcPr>
            <w:tcW w:type="dxa" w:w="2993"/>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Distribution et fidélité</w:t>
            </w:r>
          </w:p>
        </w:tc>
        <w:tc>
          <w:tcPr>
            <w:tcW w:type="dxa" w:w="6985"/>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Commissions Retire, accords employeurs, white-label, Miles et rewards : aucun barème fourni ; décisions commerciales distinctes.</w:t>
            </w:r>
          </w:p>
        </w:tc>
      </w:tr>
    </w:tbl>
    <w:p>
      <w:pPr>
        <w:keepNext w:val="0"/>
        <w:spacing w:after="40"/>
      </w:pPr>
    </w:p>
    <w:p>
      <w:pPr>
        <w:keepNext w:val="0"/>
      </w:pPr>
      <w:r>
        <w:t>Principe de publication : une donnée absente est affichée comme manquante ou à valider. Une configuration de référence est présentée comme hypothèse. Une optimisation dépend de ses contraintes et des règles disponibles ; elle n’est ni une décision de caisse, ni une garantie de niveau de vie, ni une instruction d’exécution automatique.</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VII</w:t>
            </w:r>
          </w:p>
          <w:p>
            <w:pPr>
              <w:spacing w:after="0"/>
            </w:pPr>
            <w:r>
              <w:rPr>
                <w:rFonts w:ascii="Inter" w:hAnsi="Inter"/>
                <w:color w:val="E7E8FF"/>
                <w:sz w:val="20"/>
              </w:rPr>
              <w:t>Spécification fonctionnelle par application</w:t>
            </w:r>
          </w:p>
        </w:tc>
      </w:tr>
    </w:tbl>
    <w:p>
      <w:pPr>
        <w:spacing w:after="0"/>
      </w:pPr>
    </w:p>
    <w:p>
      <w:pPr>
        <w:pStyle w:val="Heading1"/>
        <w:keepNext/>
      </w:pPr>
      <w:r>
        <w:rPr>
          <w:rFonts w:ascii="Inter" w:hAnsi="Inter"/>
        </w:rPr>
        <w:t>66. coverview.ch - Acquisition et initiation</w:t>
      </w:r>
    </w:p>
    <w:p>
      <w:pPr>
        <w:pStyle w:val="Heading2"/>
        <w:keepNext/>
      </w:pPr>
      <w:r>
        <w:rPr>
          <w:rFonts w:ascii="Inter" w:hAnsi="Inter"/>
        </w:rPr>
        <w:t>66.1 Navigation principale possible</w:t>
      </w:r>
    </w:p>
    <w:p>
      <w:pPr>
        <w:pStyle w:val="ListBullet"/>
        <w:spacing w:after="50"/>
        <w:ind w:left="312" w:hanging="102"/>
      </w:pPr>
      <w:r>
        <w:rPr>
          <w:rFonts w:ascii="Inter" w:hAnsi="Inter"/>
        </w:rPr>
        <w:t>Accueil ;</w:t>
      </w:r>
    </w:p>
    <w:p>
      <w:pPr>
        <w:pStyle w:val="ListBullet"/>
        <w:spacing w:after="50"/>
        <w:ind w:left="312" w:hanging="102"/>
      </w:pPr>
      <w:r>
        <w:rPr>
          <w:rFonts w:ascii="Inter" w:hAnsi="Inter"/>
        </w:rPr>
        <w:t>Comment ça marche ;</w:t>
      </w:r>
    </w:p>
    <w:p>
      <w:pPr>
        <w:pStyle w:val="ListBullet"/>
        <w:spacing w:after="50"/>
        <w:ind w:left="312" w:hanging="102"/>
      </w:pPr>
      <w:r>
        <w:rPr>
          <w:rFonts w:ascii="Inter" w:hAnsi="Inter"/>
        </w:rPr>
        <w:t>Analyser mon 3P ;</w:t>
      </w:r>
    </w:p>
    <w:p>
      <w:pPr>
        <w:pStyle w:val="ListBullet"/>
        <w:spacing w:after="50"/>
        <w:ind w:left="312" w:hanging="102"/>
      </w:pPr>
      <w:r>
        <w:rPr>
          <w:rFonts w:ascii="Inter" w:hAnsi="Inter"/>
        </w:rPr>
        <w:t>Calculer ma retraite ;</w:t>
      </w:r>
    </w:p>
    <w:p>
      <w:pPr>
        <w:pStyle w:val="ListBullet"/>
        <w:spacing w:after="50"/>
        <w:ind w:left="312" w:hanging="102"/>
      </w:pPr>
      <w:r>
        <w:rPr>
          <w:rFonts w:ascii="Inter" w:hAnsi="Inter"/>
        </w:rPr>
        <w:t>Comparer ;</w:t>
      </w:r>
    </w:p>
    <w:p>
      <w:pPr>
        <w:pStyle w:val="ListBullet"/>
        <w:spacing w:after="50"/>
        <w:ind w:left="312" w:hanging="102"/>
      </w:pPr>
      <w:r>
        <w:rPr>
          <w:rFonts w:ascii="Inter" w:hAnsi="Inter"/>
        </w:rPr>
        <w:t>Retrouver mes avoirs LPP ;</w:t>
      </w:r>
    </w:p>
    <w:p>
      <w:pPr>
        <w:pStyle w:val="ListBullet"/>
        <w:spacing w:after="50"/>
        <w:ind w:left="312" w:hanging="102"/>
      </w:pPr>
      <w:r>
        <w:rPr>
          <w:rFonts w:ascii="Inter" w:hAnsi="Inter"/>
        </w:rPr>
        <w:t>Récupérer mes contrats ;</w:t>
      </w:r>
    </w:p>
    <w:p>
      <w:pPr>
        <w:pStyle w:val="ListBullet"/>
        <w:spacing w:after="50"/>
        <w:ind w:left="312" w:hanging="102"/>
      </w:pPr>
      <w:r>
        <w:rPr>
          <w:rFonts w:ascii="Inter" w:hAnsi="Inter"/>
        </w:rPr>
        <w:t>Services ;</w:t>
      </w:r>
    </w:p>
    <w:p>
      <w:pPr>
        <w:pStyle w:val="ListBullet"/>
        <w:spacing w:after="50"/>
        <w:ind w:left="312" w:hanging="102"/>
      </w:pPr>
      <w:r>
        <w:rPr>
          <w:rFonts w:ascii="Inter" w:hAnsi="Inter"/>
        </w:rPr>
        <w:t>Méthodologie et benchmark ;</w:t>
      </w:r>
    </w:p>
    <w:p>
      <w:pPr>
        <w:pStyle w:val="ListBullet"/>
        <w:spacing w:after="50"/>
        <w:ind w:left="312" w:hanging="102"/>
      </w:pPr>
      <w:r>
        <w:rPr>
          <w:rFonts w:ascii="Inter" w:hAnsi="Inter"/>
        </w:rPr>
        <w:t>Études de cas et rapports ;</w:t>
      </w:r>
    </w:p>
    <w:p>
      <w:pPr>
        <w:pStyle w:val="ListBullet"/>
        <w:spacing w:after="50"/>
        <w:ind w:left="312" w:hanging="102"/>
      </w:pPr>
      <w:r>
        <w:rPr>
          <w:rFonts w:ascii="Inter" w:hAnsi="Inter"/>
        </w:rPr>
        <w:t>Sébastien Martin ;</w:t>
      </w:r>
    </w:p>
    <w:p>
      <w:pPr>
        <w:pStyle w:val="ListBullet"/>
        <w:spacing w:after="50"/>
        <w:ind w:left="312" w:hanging="102"/>
      </w:pPr>
      <w:r>
        <w:rPr>
          <w:rFonts w:ascii="Inter" w:hAnsi="Inter"/>
        </w:rPr>
        <w:t>Articles et FAQ ;</w:t>
      </w:r>
    </w:p>
    <w:p>
      <w:pPr>
        <w:pStyle w:val="ListBullet"/>
        <w:spacing w:after="50"/>
        <w:ind w:left="312" w:hanging="102"/>
      </w:pPr>
      <w:r>
        <w:rPr>
          <w:rFonts w:ascii="Inter" w:hAnsi="Inter"/>
        </w:rPr>
        <w:t>Contact ;</w:t>
      </w:r>
    </w:p>
    <w:p>
      <w:pPr>
        <w:pStyle w:val="ListBullet"/>
        <w:spacing w:after="50"/>
        <w:ind w:left="312" w:hanging="102"/>
      </w:pPr>
      <w:r>
        <w:rPr>
          <w:rFonts w:ascii="Inter" w:hAnsi="Inter"/>
        </w:rPr>
        <w:t>Mon Wallet / Se connecter.</w:t>
      </w:r>
    </w:p>
    <w:p>
      <w:pPr>
        <w:pStyle w:val="Heading2"/>
        <w:keepNext/>
      </w:pPr>
      <w:r>
        <w:rPr>
          <w:rFonts w:ascii="Inter" w:hAnsi="Inter"/>
        </w:rPr>
        <w:t>66.2 Fonctions transactionnelles</w:t>
      </w:r>
    </w:p>
    <w:p>
      <w:pPr>
        <w:pStyle w:val="ListBullet"/>
        <w:spacing w:after="50"/>
        <w:ind w:left="312" w:hanging="102"/>
      </w:pPr>
      <w:r>
        <w:rPr>
          <w:rFonts w:ascii="Inter" w:hAnsi="Inter"/>
        </w:rPr>
        <w:t>upload et analyse ;</w:t>
      </w:r>
    </w:p>
    <w:p>
      <w:pPr>
        <w:pStyle w:val="ListBullet"/>
        <w:spacing w:after="50"/>
        <w:ind w:left="312" w:hanging="102"/>
      </w:pPr>
      <w:r>
        <w:rPr>
          <w:rFonts w:ascii="Inter" w:hAnsi="Inter"/>
        </w:rPr>
        <w:t>comparateurs et simulateurs ;</w:t>
      </w:r>
    </w:p>
    <w:p>
      <w:pPr>
        <w:pStyle w:val="ListBullet"/>
        <w:spacing w:after="50"/>
        <w:ind w:left="312" w:hanging="102"/>
      </w:pPr>
      <w:r>
        <w:rPr>
          <w:rFonts w:ascii="Inter" w:hAnsi="Inter"/>
        </w:rPr>
        <w:t>sauvegarde, favoris et partage ;</w:t>
      </w:r>
    </w:p>
    <w:p>
      <w:pPr>
        <w:pStyle w:val="ListBullet"/>
        <w:spacing w:after="50"/>
        <w:ind w:left="312" w:hanging="102"/>
      </w:pPr>
      <w:r>
        <w:rPr>
          <w:rFonts w:ascii="Inter" w:hAnsi="Inter"/>
        </w:rPr>
        <w:t>procurations, mandats et signature ;</w:t>
      </w:r>
    </w:p>
    <w:p>
      <w:pPr>
        <w:pStyle w:val="ListBullet"/>
        <w:spacing w:after="50"/>
        <w:ind w:left="312" w:hanging="102"/>
      </w:pPr>
      <w:r>
        <w:rPr>
          <w:rFonts w:ascii="Inter" w:hAnsi="Inter"/>
        </w:rPr>
        <w:t>recherche LPP ;</w:t>
      </w:r>
    </w:p>
    <w:p>
      <w:pPr>
        <w:pStyle w:val="ListBullet"/>
        <w:spacing w:after="50"/>
        <w:ind w:left="312" w:hanging="102"/>
      </w:pPr>
      <w:r>
        <w:rPr>
          <w:rFonts w:ascii="Inter" w:hAnsi="Inter"/>
        </w:rPr>
        <w:t>récupération de contrats ;</w:t>
      </w:r>
    </w:p>
    <w:p>
      <w:pPr>
        <w:pStyle w:val="ListBullet"/>
        <w:spacing w:after="50"/>
        <w:ind w:left="312" w:hanging="102"/>
      </w:pPr>
      <w:r>
        <w:rPr>
          <w:rFonts w:ascii="Inter" w:hAnsi="Inter"/>
        </w:rPr>
        <w:t>création de compte et handoff Wallet.</w:t>
      </w:r>
    </w:p>
    <w:p>
      <w:pPr>
        <w:pStyle w:val="ListBullet"/>
      </w:pPr>
      <w:r>
        <w:t>programme Miles, avantages et partenaires ;</w:t>
      </w:r>
    </w:p>
    <w:p>
      <w:pPr>
        <w:pStyle w:val="ListBullet"/>
      </w:pPr>
      <w:r>
        <w:t>activation de la carte digitale après connexion.</w:t>
      </w:r>
    </w:p>
    <w:p>
      <w:pPr>
        <w:pStyle w:val="Heading2"/>
        <w:keepNext/>
      </w:pPr>
      <w:r>
        <w:t>66.3 Entrée publique CoverView Retire</w:t>
      </w:r>
    </w:p>
    <w:p>
      <w:pPr>
        <w:keepNext w:val="0"/>
      </w:pPr>
      <w:r>
        <w:t>Landing dédiée à « Combien pouvez-vous réellement vous permettre de dépenser à la retraite ? », Retirement Check gratuit, première révélation puis sauvegarde dans Wallet. Le parcours 3P reste accessible ; les offres Retire et leur disponibilité sont présentées sans créer une nouvelle plateforme. Voir R2, R3 et R11.</w:t>
      </w:r>
    </w:p>
    <w:p>
      <w:pPr>
        <w:pStyle w:val="Heading1"/>
        <w:keepNext/>
      </w:pPr>
      <w:r>
        <w:rPr>
          <w:rFonts w:ascii="Inter" w:hAnsi="Inter"/>
        </w:rPr>
        <w:t>67. wallet.coverview.ch - Centralisation et suivi</w:t>
      </w:r>
    </w:p>
    <w:p>
      <w:pPr>
        <w:pStyle w:val="Heading2"/>
        <w:keepNext/>
      </w:pPr>
      <w:r>
        <w:rPr>
          <w:rFonts w:ascii="Inter" w:hAnsi="Inter"/>
        </w:rPr>
        <w:t>67.1 Navigation possible</w:t>
      </w:r>
    </w:p>
    <w:p>
      <w:pPr>
        <w:pStyle w:val="ListBullet"/>
        <w:spacing w:after="50"/>
        <w:ind w:left="312" w:hanging="102"/>
      </w:pPr>
      <w:r>
        <w:rPr>
          <w:rFonts w:ascii="Inter" w:hAnsi="Inter"/>
        </w:rPr>
        <w:t>Dashboard ;</w:t>
      </w:r>
    </w:p>
    <w:p>
      <w:pPr>
        <w:pStyle w:val="ListBullet"/>
        <w:spacing w:after="50"/>
        <w:ind w:left="312" w:hanging="102"/>
      </w:pPr>
      <w:r>
        <w:rPr>
          <w:rFonts w:ascii="Inter" w:hAnsi="Inter"/>
        </w:rPr>
        <w:t>Retraite ;</w:t>
      </w:r>
    </w:p>
    <w:p>
      <w:pPr>
        <w:pStyle w:val="ListBullet"/>
        <w:spacing w:after="50"/>
        <w:ind w:left="312" w:hanging="102"/>
      </w:pPr>
      <w:r>
        <w:rPr>
          <w:rFonts w:ascii="Inter" w:hAnsi="Inter"/>
        </w:rPr>
        <w:t>Mes contrats ;</w:t>
      </w:r>
    </w:p>
    <w:p>
      <w:pPr>
        <w:pStyle w:val="ListBullet"/>
        <w:spacing w:after="50"/>
        <w:ind w:left="312" w:hanging="102"/>
      </w:pPr>
      <w:r>
        <w:rPr>
          <w:rFonts w:ascii="Inter" w:hAnsi="Inter"/>
        </w:rPr>
        <w:t>Analyse 3P ;</w:t>
      </w:r>
    </w:p>
    <w:p>
      <w:pPr>
        <w:pStyle w:val="ListBullet"/>
        <w:spacing w:after="50"/>
        <w:ind w:left="312" w:hanging="102"/>
      </w:pPr>
      <w:r>
        <w:rPr>
          <w:rFonts w:ascii="Inter" w:hAnsi="Inter"/>
        </w:rPr>
        <w:t>Stratégie ;</w:t>
      </w:r>
    </w:p>
    <w:p>
      <w:pPr>
        <w:pStyle w:val="ListBullet"/>
        <w:spacing w:after="50"/>
        <w:ind w:left="312" w:hanging="102"/>
      </w:pPr>
      <w:r>
        <w:rPr>
          <w:rFonts w:ascii="Inter" w:hAnsi="Inter"/>
        </w:rPr>
        <w:t>Simulations ;</w:t>
      </w:r>
    </w:p>
    <w:p>
      <w:pPr>
        <w:pStyle w:val="ListBullet"/>
        <w:spacing w:after="50"/>
        <w:ind w:left="312" w:hanging="102"/>
      </w:pPr>
      <w:r>
        <w:rPr>
          <w:rFonts w:ascii="Inter" w:hAnsi="Inter"/>
        </w:rPr>
        <w:t>Audit ;</w:t>
      </w:r>
    </w:p>
    <w:p>
      <w:pPr>
        <w:pStyle w:val="ListBullet"/>
        <w:spacing w:after="50"/>
        <w:ind w:left="312" w:hanging="102"/>
      </w:pPr>
      <w:r>
        <w:rPr>
          <w:rFonts w:ascii="Inter" w:hAnsi="Inter"/>
        </w:rPr>
        <w:t>Suivi ;</w:t>
      </w:r>
    </w:p>
    <w:p>
      <w:pPr>
        <w:pStyle w:val="ListBullet"/>
        <w:spacing w:after="50"/>
        <w:ind w:left="312" w:hanging="102"/>
      </w:pPr>
      <w:r>
        <w:rPr>
          <w:rFonts w:ascii="Inter" w:hAnsi="Inter"/>
        </w:rPr>
        <w:t>Mes démarches ;</w:t>
      </w:r>
    </w:p>
    <w:p>
      <w:pPr>
        <w:pStyle w:val="ListBullet"/>
        <w:spacing w:after="50"/>
        <w:ind w:left="312" w:hanging="102"/>
      </w:pPr>
      <w:r>
        <w:rPr>
          <w:rFonts w:ascii="Inter" w:hAnsi="Inter"/>
        </w:rPr>
        <w:t>Documents ;</w:t>
      </w:r>
    </w:p>
    <w:p>
      <w:pPr>
        <w:pStyle w:val="ListBullet"/>
        <w:spacing w:after="50"/>
        <w:ind w:left="312" w:hanging="102"/>
      </w:pPr>
      <w:r>
        <w:rPr>
          <w:rFonts w:ascii="Inter" w:hAnsi="Inter"/>
        </w:rPr>
        <w:t>À signer ;</w:t>
      </w:r>
    </w:p>
    <w:p>
      <w:pPr>
        <w:pStyle w:val="ListBullet"/>
        <w:spacing w:after="50"/>
        <w:ind w:left="312" w:hanging="102"/>
      </w:pPr>
      <w:r>
        <w:rPr>
          <w:rFonts w:ascii="Inter" w:hAnsi="Inter"/>
        </w:rPr>
        <w:t>Favoris ;</w:t>
      </w:r>
    </w:p>
    <w:p>
      <w:pPr>
        <w:pStyle w:val="ListBullet"/>
      </w:pPr>
      <w:r>
        <w:t>Chat / Suis-je couvert ? ;</w:t>
      </w:r>
    </w:p>
    <w:p>
      <w:pPr>
        <w:pStyle w:val="ListBullet"/>
      </w:pPr>
      <w:r>
        <w:t>Carte CoverView ;</w:t>
      </w:r>
    </w:p>
    <w:p>
      <w:pPr>
        <w:pStyle w:val="ListBullet"/>
      </w:pPr>
      <w:r>
        <w:t>Miles &amp; avantages ;</w:t>
      </w:r>
    </w:p>
    <w:p>
      <w:pPr>
        <w:pStyle w:val="ListBullet"/>
      </w:pPr>
      <w:r>
        <w:t>Shop et mes récompenses ;</w:t>
      </w:r>
    </w:p>
    <w:p>
      <w:pPr>
        <w:pStyle w:val="ListBullet"/>
        <w:spacing w:after="50"/>
        <w:ind w:left="312" w:hanging="102"/>
      </w:pPr>
      <w:r>
        <w:rPr>
          <w:rFonts w:ascii="Inter" w:hAnsi="Inter"/>
        </w:rPr>
        <w:t>Messages et profil.</w:t>
      </w:r>
    </w:p>
    <w:p>
      <w:pPr>
        <w:pStyle w:val="Heading2"/>
        <w:keepNext/>
      </w:pPr>
      <w:r>
        <w:rPr>
          <w:rFonts w:ascii="Inter" w:hAnsi="Inter"/>
        </w:rPr>
        <w:t>67.2 Questions auxquelles Wallet répond</w:t>
      </w:r>
    </w:p>
    <w:p>
      <w:pPr>
        <w:pStyle w:val="ListBullet"/>
        <w:spacing w:after="50"/>
        <w:ind w:left="312" w:hanging="102"/>
      </w:pPr>
      <w:r>
        <w:rPr>
          <w:rFonts w:ascii="Inter" w:hAnsi="Inter"/>
        </w:rPr>
        <w:t>qu’est-ce que je possède et chez qui ?</w:t>
      </w:r>
    </w:p>
    <w:p>
      <w:pPr>
        <w:pStyle w:val="ListBullet"/>
        <w:spacing w:after="50"/>
        <w:ind w:left="312" w:hanging="102"/>
      </w:pPr>
      <w:r>
        <w:rPr>
          <w:rFonts w:ascii="Inter" w:hAnsi="Inter"/>
        </w:rPr>
        <w:t>combien cela coûte et à quoi cela sert ?</w:t>
      </w:r>
    </w:p>
    <w:p>
      <w:pPr>
        <w:pStyle w:val="ListBullet"/>
        <w:spacing w:after="50"/>
        <w:ind w:left="312" w:hanging="102"/>
      </w:pPr>
      <w:r>
        <w:rPr>
          <w:rFonts w:ascii="Inter" w:hAnsi="Inter"/>
        </w:rPr>
        <w:t>est-ce adapté et performant ?</w:t>
      </w:r>
    </w:p>
    <w:p>
      <w:pPr>
        <w:pStyle w:val="ListBullet"/>
        <w:spacing w:after="50"/>
        <w:ind w:left="312" w:hanging="102"/>
      </w:pPr>
      <w:r>
        <w:rPr>
          <w:rFonts w:ascii="Inter" w:hAnsi="Inter"/>
        </w:rPr>
        <w:t>quelles démarches sont en cours ?</w:t>
      </w:r>
    </w:p>
    <w:p>
      <w:pPr>
        <w:pStyle w:val="ListBullet"/>
        <w:spacing w:after="50"/>
        <w:ind w:left="312" w:hanging="102"/>
      </w:pPr>
      <w:r>
        <w:rPr>
          <w:rFonts w:ascii="Inter" w:hAnsi="Inter"/>
        </w:rPr>
        <w:t>quelles actions sont recommandées ?</w:t>
      </w:r>
    </w:p>
    <w:p>
      <w:pPr>
        <w:pStyle w:val="ListBullet"/>
        <w:spacing w:after="50"/>
        <w:ind w:left="312" w:hanging="102"/>
      </w:pPr>
      <w:r>
        <w:rPr>
          <w:rFonts w:ascii="Inter" w:hAnsi="Inter"/>
        </w:rPr>
        <w:t>comment ma situation a-t-elle évolué ?</w:t>
      </w:r>
    </w:p>
    <w:p>
      <w:pPr>
        <w:pStyle w:val="ListBullet"/>
        <w:spacing w:after="50"/>
        <w:ind w:left="312" w:hanging="102"/>
      </w:pPr>
      <w:r>
        <w:rPr>
          <w:rFonts w:ascii="Inter" w:hAnsi="Inter"/>
        </w:rPr>
        <w:t>quand la prochaine revue aura-t-elle lieu ?</w:t>
      </w:r>
    </w:p>
    <w:p>
      <w:pPr>
        <w:pStyle w:val="ListBullet"/>
      </w:pPr>
      <w:r>
        <w:t>suis-je couvert dans le scénario que je décris et quelles clauses sont pertinentes ?</w:t>
      </w:r>
    </w:p>
    <w:p>
      <w:pPr>
        <w:pStyle w:val="ListBullet"/>
      </w:pPr>
      <w:r>
        <w:t>quels Miles, avantages, vouchers et récompenses sont disponibles ou déjà acquis ?</w:t>
      </w:r>
    </w:p>
    <w:p>
      <w:pPr>
        <w:pStyle w:val="ListBullet"/>
      </w:pPr>
      <w:r>
        <w:t>comment utiliser ma carte digitale chez CoverView ou un partenaire ?</w:t>
      </w:r>
    </w:p>
    <w:p>
      <w:pPr>
        <w:pStyle w:val="Heading2"/>
      </w:pPr>
      <w:r>
        <w:t>67.3 Assistant de couverture conversationnel</w:t>
      </w:r>
    </w:p>
    <w:p>
      <w:pPr/>
      <w:r>
        <w:t>Wallet doit proposer une page ou un onglet conversationnel identifiable par une promesse simple, par exemple « Suis-je couvert ? ». Le client décrit sa situation en langage naturel, par texte ou par voix. L’assistant analyse uniquement le contexte auquel ce client a droit : profil, contrats actifs, versions de produit, police, conditions particulières, avenants, CGA, garanties, exclusions, franchises, plafonds, délais, territorialité, échéances et contacts d’assistance.</w:t>
      </w:r>
    </w:p>
    <w:p>
      <w:pPr>
        <w:pStyle w:val="ListBullet"/>
      </w:pPr>
      <w:r>
        <w:t>identifier le ou les contrats potentiellement concernés et la date d’effet applicable ;</w:t>
      </w:r>
    </w:p>
    <w:p>
      <w:pPr>
        <w:pStyle w:val="ListBullet"/>
      </w:pPr>
      <w:r>
        <w:t>poser uniquement les questions complémentaires nécessaires : lieu, date, cause, personnes ou biens concernés, montant, urgence et pièces disponibles ;</w:t>
      </w:r>
    </w:p>
    <w:p>
      <w:pPr>
        <w:pStyle w:val="ListBullet"/>
      </w:pPr>
      <w:r>
        <w:t>accepter des photos, courriers, factures ou autres pièces, puis les faire traiter par Document Intelligence ;</w:t>
      </w:r>
    </w:p>
    <w:p>
      <w:pPr>
        <w:pStyle w:val="ListBullet"/>
      </w:pPr>
      <w:r>
        <w:t>répondre de façon personnalisée plutôt qu’avec une FAQ générique ;</w:t>
      </w:r>
    </w:p>
    <w:p>
      <w:pPr>
        <w:pStyle w:val="ListBullet"/>
      </w:pPr>
      <w:r>
        <w:t>conserver la conversation, ses sources et son état dans Wallet ;</w:t>
      </w:r>
    </w:p>
    <w:p>
      <w:pPr>
        <w:pStyle w:val="ListBullet"/>
      </w:pPr>
      <w:r>
        <w:t>permettre une reprise humaine sans demander au client de répéter tout son contexte.</w:t>
      </w:r>
    </w:p>
    <w:p>
      <w:pPr>
        <w:pStyle w:val="Heading2"/>
      </w:pPr>
      <w:r>
        <w:t>67.4 Harness contractuel, recherche et hiérarchie des sources</w:t>
      </w:r>
    </w:p>
    <w:p>
      <w:pPr/>
      <w:r>
        <w:t>La réponse ne doit pas être produite par un LLM isolé. Elle passe par un harness déterministe qui assemble le contexte, applique les permissions, recherche les sources contractuelles, exécute les règles vérifiables, sollicite le modèle pour la compréhension et la formulation, puis contrôle le résultat avant affichage.</w:t>
      </w:r>
    </w:p>
    <w:p>
      <w:pPr/>
      <w:r>
        <w:t>1. authentifier le client et lier explicitement la conversation à son identité ;</w:t>
      </w:r>
    </w:p>
    <w:p>
      <w:pPr/>
      <w:r>
        <w:t>2. normaliser le scénario et détecter les dates, lieux, objets, causes et urgence ;</w:t>
      </w:r>
    </w:p>
    <w:p>
      <w:pPr/>
      <w:r>
        <w:t>3. sélectionner les contrats candidats et leur version applicable au moment des faits ;</w:t>
      </w:r>
    </w:p>
    <w:p>
      <w:pPr/>
      <w:r>
        <w:t>4. récupérer uniquement les documents autorisés et les passages pertinents ;</w:t>
      </w:r>
    </w:p>
    <w:p>
      <w:pPr/>
      <w:r>
        <w:t>5. appliquer les règles structurées disponibles, puis utiliser le LLM pour relier les faits aux clauses ;</w:t>
      </w:r>
    </w:p>
    <w:p>
      <w:pPr/>
      <w:r>
        <w:t>6. générer une réponse structurée avec sources, limites, incertitudes et prochaine action ;</w:t>
      </w:r>
    </w:p>
    <w:p>
      <w:pPr/>
      <w:r>
        <w:t>7. passer des contrôles post-réponse : citations valides, absence de contradiction, droits, langage non garanti et cas nécessitant une escalade ;</w:t>
      </w:r>
    </w:p>
    <w:p>
      <w:pPr/>
      <w:r>
        <w:t>8. enregistrer le snapshot de contexte, les documents, passages, versions de moteur et réponse présentée.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Source contractuelle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Usage et priorité indicative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Avenant ou modification applicable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Peut modifier une condition antérieure ; toujours vérifier sa date d’effet.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Conditions particulières / police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Décrit le contrat réellement souscrit, les montants et options propres au client.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CGA / conditions générales applicables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Définit les couvertures, exclusions, obligations et procédures de la version concernée.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Catalogue CoverView vérifié</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Complète le matching produit et les métadonnées, sans remplacer les documents individuels.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Explication générique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Utilisée seulement pour la pédagogie et clairement séparée de la conclusion contractuelle.</w:t>
            </w:r>
          </w:p>
        </w:tc>
      </w:tr>
    </w:tbl>
    <w:p>
      <w:pPr>
        <w:pStyle w:val="CoverViewSmall"/>
      </w:pPr>
      <w:r>
        <w:t>Cette hiérarchie doit rester configurable et explicable : une règle métier ou une validation humaine peut être nécessaire lorsque deux documents se contredisent ou que l’ordre de priorité dépend du contrat.</w:t>
      </w:r>
    </w:p>
    <w:p>
      <w:pPr>
        <w:pStyle w:val="Heading2"/>
      </w:pPr>
      <w:r>
        <w:t>67.5 Structure et niveau de prudence de la réponse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Bloc de réponse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Contenu attendu</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Conclusion prudente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Probablement couvert, probablement non couvert, incertain, informations manquantes ou urgence.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Contrat concerné</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Produit, numéro de police ou garantie pertinente, sans exposer plus de données que nécessaire.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Pourquoi</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Raisonnement court reliant le scénario aux conditions disponibles.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Limites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Franchise, plafond, exclusions, délai, territoire, obligations de déclaration et réserves.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Preuves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Document, version, clause ou section et page lorsque disponible, avec lien vers la source autorisée.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Informations manquantes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Questions dont la réponse pourrait modifier l’analyse.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Prochaine action</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Appeler l’assistance, annoncer le sinistre, joindre une pièce, créer une demande ou solliciter CoverView.</w:t>
            </w:r>
          </w:p>
        </w:tc>
      </w:tr>
    </w:tbl>
    <w:p>
      <w:pPr>
        <w:pStyle w:val="CoverViewLead"/>
      </w:pPr>
      <w:r>
        <w:t>Formulation obligatoire : la réponse est fondée sur les documents disponibles à la date indiquée. Elle aide le client à comprendre sa situation mais ne vaut pas décision définitive de prise en charge ; l’assureur ou l’entité compétente peut demander des faits et preuves supplémentaires.</w:t>
      </w:r>
    </w:p>
    <w:p>
      <w:pPr>
        <w:pStyle w:val="ListBullet"/>
      </w:pPr>
      <w:r>
        <w:t>ne jamais inventer une clause ou citer un document qui n’a pas été réellement récupéré ;</w:t>
      </w:r>
    </w:p>
    <w:p>
      <w:pPr>
        <w:pStyle w:val="ListBullet"/>
      </w:pPr>
      <w:r>
        <w:t>distinguer ce qui est explicitement écrit de l’interprétation du système ;</w:t>
      </w:r>
    </w:p>
    <w:p>
      <w:pPr>
        <w:pStyle w:val="ListBullet"/>
      </w:pPr>
      <w:r>
        <w:t>indiquer l’incertitude lorsque la police, les CGA applicables ou les faits sont incomplets ;</w:t>
      </w:r>
    </w:p>
    <w:p>
      <w:pPr>
        <w:pStyle w:val="ListBullet"/>
      </w:pPr>
      <w:r>
        <w:t>faire remonter immédiatement les numéros d’assistance et consignes urgentes présents dans les contrats lorsqu’un délai peut aggraver la situation ;</w:t>
      </w:r>
    </w:p>
    <w:p>
      <w:pPr>
        <w:pStyle w:val="ListBullet"/>
      </w:pPr>
      <w:r>
        <w:t>escalader les contradictions, cas médicaux ou juridiques sensibles, exclusions ambiguës et risques importants ;</w:t>
      </w:r>
    </w:p>
    <w:p>
      <w:pPr>
        <w:pStyle w:val="ListBullet"/>
      </w:pPr>
      <w:r>
        <w:t>empêcher toute fuite de données ou recherche dans le dossier d’un autre client.</w:t>
      </w:r>
    </w:p>
    <w:p>
      <w:pPr>
        <w:pStyle w:val="Heading2"/>
      </w:pPr>
      <w:r>
        <w:t>67.6 Du chat à une demande d’assistance ou de sinistre</w:t>
      </w:r>
    </w:p>
    <w:p>
      <w:pPr/>
      <w:r>
        <w:t>La conversation doit pouvoir devenir une action sans rupture. Le client peut demander une validation humaine, créer une demande d’assistance, signaler un sinistre, joindre ses preuves ou demander que CoverView prépare la suite.</w:t>
      </w:r>
    </w:p>
    <w:p>
      <w:pPr>
        <w:pStyle w:val="ListBullet"/>
      </w:pPr>
      <w:r>
        <w:t>création d’un SupportCase ou ClaimAssistanceRequest dans la base commune ;</w:t>
      </w:r>
    </w:p>
    <w:p>
      <w:pPr>
        <w:pStyle w:val="ListBullet"/>
      </w:pPr>
      <w:r>
        <w:t>rattachement du résumé de la conversation, du scénario, des contrats candidats, des sources et pièces jointes ;</w:t>
      </w:r>
    </w:p>
    <w:p>
      <w:pPr>
        <w:pStyle w:val="ListBullet"/>
      </w:pPr>
      <w:r>
        <w:t>création automatique du responsable, de la priorité, de la prochaine action et des tâches initiales dans Admin ;</w:t>
      </w:r>
    </w:p>
    <w:p>
      <w:pPr>
        <w:pStyle w:val="ListBullet"/>
      </w:pPr>
      <w:r>
        <w:t>affichage du statut, des documents manquants, des messages et de la timeline dans Wallet ;</w:t>
      </w:r>
    </w:p>
    <w:p>
      <w:pPr>
        <w:pStyle w:val="ListBullet"/>
      </w:pPr>
      <w:r>
        <w:t>possibilité pour le client de choisir si le support reçoit la conversation complète ou un résumé contrôlé ;</w:t>
      </w:r>
    </w:p>
    <w:p>
      <w:pPr>
        <w:pStyle w:val="ListBullet"/>
      </w:pPr>
      <w:r>
        <w:t>reprise du dossier dans Gmail, Calendar et le Kanban sans perte du contexte initial.</w:t>
      </w:r>
    </w:p>
    <w:p>
      <w:pPr>
        <w:pStyle w:val="Heading2"/>
      </w:pPr>
      <w:r>
        <w:t>67.7 Carte digitale CoverView</w:t>
      </w:r>
    </w:p>
    <w:p>
      <w:pPr/>
      <w:r>
        <w:t>Wallet doit permettre au client d’ajouter une carte digitale CoverView dans Apple Wallet ou Google Wallet lorsque la plateforme et l’appareil le permettent. Cette carte est un pass de membre et de fidélité : elle complète l’application mais ne remplace ni une pièce d’identité, ni une attestation d’assurance, ni le mécanisme d’authentification.</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Élément de la carte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Rôle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Identité de membre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Nom affiché selon consentement, identifiant de membre et statut du compte.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QR / code-barres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Jeton opaque permettant une validation serveur chez un partenaire ; aucune donnée contractuelle sensible dans le code.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Miles et niveau</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Solde ou niveau éventuellement affiché, avec date de dernière mise à jour.</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Avantages actifs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Résumé d’un avantage, d’un voucher ou d’une campagne en cours lorsque pertinent.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Accès rapide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Lien ou deep link vers wallet.coverview.ch ou une application native future.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Support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Raccourci vers le chat, les contacts ou une page d’assistance.</w:t>
            </w:r>
          </w:p>
        </w:tc>
      </w:tr>
    </w:tbl>
    <w:p>
      <w:pPr>
        <w:pStyle w:val="ListBullet"/>
      </w:pPr>
      <w:r>
        <w:t>après ouverture du lien, l’authentification reste gérée par CoverView, idéalement via passkey protégée par la biométrie de l’appareil lorsque disponible ;</w:t>
      </w:r>
    </w:p>
    <w:p>
      <w:pPr>
        <w:pStyle w:val="ListBullet"/>
      </w:pPr>
      <w:r>
        <w:t>la carte peut recevoir des mises à jour de solde, niveau, avantages ou messages compatibles avec le fournisseur de pass ;</w:t>
      </w:r>
    </w:p>
    <w:p>
      <w:pPr>
        <w:pStyle w:val="ListBullet"/>
      </w:pPr>
      <w:r>
        <w:t>chaque instance doit pouvoir être suspendue ou révoquée après perte d’un appareil, fraude ou fermeture du compte ;</w:t>
      </w:r>
    </w:p>
    <w:p>
      <w:pPr>
        <w:pStyle w:val="ListBullet"/>
      </w:pPr>
      <w:r>
        <w:t>les codes présentés au partenaire sont validés côté serveur avec expiration, portée et protection contre la réutilisation ;</w:t>
      </w:r>
    </w:p>
    <w:p>
      <w:pPr>
        <w:pStyle w:val="ListBullet"/>
      </w:pPr>
      <w:r>
        <w:t>la carte ne doit jamais exposer la liste des contrats, les montants patrimoniaux, des données médicales ou des informations permettant d’usurper le compte.</w:t>
      </w:r>
    </w:p>
    <w:p>
      <w:pPr>
        <w:pStyle w:val="Heading2"/>
      </w:pPr>
      <w:r>
        <w:t>67.8 Programme de fidélité Miles</w:t>
      </w:r>
    </w:p>
    <w:p>
      <w:pPr/>
      <w:r>
        <w:t>Les Miles récompensent l’engagement utile, l’éducation, la fidélité et certaines prestations. Ils doivent être gérés comme un véritable registre de points et non comme un simple compteur modifiable. Le solde est la somme d’écritures immuables ; une correction produit une écriture d’ajustement ou de reversal, jamais une modification silencieuse de l’historique.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Événement de gain possible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Contrôle recommandé</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Participation à un événement ou une formation</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Présence ou complétion validée, règle de campagne et plafond éventuel.</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Achat d’une prestation CoverView</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Miles crédités après paiement ou après le délai d’annulation défini.</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Signature et activation d’un contrat éligible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Crédit d’abord pending, puis disponible après contrôles, délai de renonciation et risque de reprise.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Revue annuelle ou complétion d’une étape utile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Événement réellement terminé, non répétable abusivement.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Action ou offre d’un partenaire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Preuve de transaction, règle partenaire, anti-fraude et financement identifié.</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Parrainage ou campagne ponctuelle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Conditions, plafonds, déduplication, éligibilité et validation explicites.</w:t>
            </w:r>
          </w:p>
        </w:tc>
      </w:tr>
    </w:tbl>
    <w:p>
      <w:pPr>
        <w:pStyle w:val="ListBullet"/>
      </w:pPr>
      <w:r>
        <w:t>statuts minimaux : PENDING, AVAILABLE, RESERVED, REDEEMED, EXPIRED, REVERSED et ADJUSTED ;</w:t>
      </w:r>
    </w:p>
    <w:p>
      <w:pPr>
        <w:pStyle w:val="ListBullet"/>
      </w:pPr>
      <w:r>
        <w:t>chaque écriture indique sa règle, sa source, sa date, son éventuelle expiration, son financeur et son motif ;</w:t>
      </w:r>
    </w:p>
    <w:p>
      <w:pPr>
        <w:pStyle w:val="ListBullet"/>
      </w:pPr>
      <w:r>
        <w:t>les règles sont créées et versionnées dans Admin ; un événement passé conserve la version de règle utilisée ;</w:t>
      </w:r>
    </w:p>
    <w:p>
      <w:pPr>
        <w:pStyle w:val="ListBullet"/>
      </w:pPr>
      <w:r>
        <w:t>une annulation, un défaut de paiement ou une reprise de commission peut entraîner un reversal explicite selon les conditions publiées ;</w:t>
      </w:r>
    </w:p>
    <w:p>
      <w:pPr>
        <w:pStyle w:val="ListBullet"/>
      </w:pPr>
      <w:r>
        <w:t>le programme ne doit jamais pousser vers un contrat inadapté : la pertinence du conseil reste prioritaire sur les Miles attribués ;</w:t>
      </w:r>
    </w:p>
    <w:p>
      <w:pPr>
        <w:pStyle w:val="ListBullet"/>
      </w:pPr>
      <w:r>
        <w:t>les gains liés à la signature de contrats, le cashback et toute récompense assimilable à de l’argent restent soumis à validation juridique, fiscale, comptable et de conformité avant activation.</w:t>
      </w:r>
    </w:p>
    <w:p>
      <w:pPr>
        <w:pStyle w:val="Heading2"/>
      </w:pPr>
      <w:r>
        <w:t>67.9 Shop fidélité, récompenses et avantages partenaires</w:t>
      </w:r>
    </w:p>
    <w:p>
      <w:pPr/>
      <w:r>
        <w:t>Wallet peut proposer un shop où les Miles sont échangés contre des services CoverView, des avantages partenaires ou des droits d’usage. Les récompenses doivent être des objets structurés avec une éligibilité, un prix en Miles, un stock, une période, un financeur, des conditions et un mode d’exécution.</w:t>
      </w:r>
    </w:p>
    <w:p>
      <w:pPr>
        <w:pStyle w:val="ListBullet"/>
      </w:pPr>
      <w:r>
        <w:t>analyses supplémentaires, rapports premium, rendez-vous ou services CoverView ;</w:t>
      </w:r>
    </w:p>
    <w:p>
      <w:pPr>
        <w:pStyle w:val="ListBullet"/>
      </w:pPr>
      <w:r>
        <w:t>assurance voyage d’une durée déterminée ou participation à son coût, uniquement si le montage et l’éligibilité sont validés ;</w:t>
      </w:r>
    </w:p>
    <w:p>
      <w:pPr>
        <w:pStyle w:val="ListBullet"/>
      </w:pPr>
      <w:r>
        <w:t>abonnements, formations, événements, contenus ou fonctionnalités premium ;</w:t>
      </w:r>
    </w:p>
    <w:p>
      <w:pPr>
        <w:pStyle w:val="ListBullet"/>
      </w:pPr>
      <w:r>
        <w:t>vouchers partenaires : massage, bien-être, restauration, mobilité, loisirs ou autres services compatibles avec la marque ;</w:t>
      </w:r>
    </w:p>
    <w:p>
      <w:pPr>
        <w:pStyle w:val="ListBullet"/>
      </w:pPr>
      <w:r>
        <w:t>rabais, cashback ou crédit de service, uniquement dans un cadre juridique et comptable défini ;</w:t>
      </w:r>
    </w:p>
    <w:p>
      <w:pPr>
        <w:pStyle w:val="ListBullet"/>
      </w:pPr>
      <w:r>
        <w:t>récompenses limitées, campagnes saisonnières ou avantages liés à un niveau de fidélité.</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Attribut d’une récompense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Exemples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Prix et paiement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Miles, complément monétaire éventuel, taxes et règle d’arrondi.</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Éligibilité</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Segment, canton, âge, contrat, niveau, date, nombre maximal ou statut du compte.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Disponibilité</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Stock, période, zone géographique, réservation et liste d’attente.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Exécution</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Voucher, QR à usage unique, activation d’un entitlement, réservation ou remboursement.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Partenaire et financement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CoverView-funded, partner-funded ou co-funded ; règle de règlement.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Annulation</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Délai, remboursement des Miles, expiration, no-show et litige.</w:t>
            </w:r>
          </w:p>
        </w:tc>
      </w:tr>
    </w:tbl>
    <w:p>
      <w:pPr>
        <w:pStyle w:val="ListBullet"/>
      </w:pPr>
      <w:r>
        <w:t>la redemption doit être atomique et idempotente : contrôle du solde, de l’éligibilité et du stock avant débit ;</w:t>
      </w:r>
    </w:p>
    <w:p>
      <w:pPr>
        <w:pStyle w:val="ListBullet"/>
      </w:pPr>
      <w:r>
        <w:t>un QR partenaire ne valide jamais localement un avantage sensible : Partners ou le terminal interroge le backend, qui réserve puis consomme le droit ;</w:t>
      </w:r>
    </w:p>
    <w:p>
      <w:pPr>
        <w:pStyle w:val="ListBullet"/>
      </w:pPr>
      <w:r>
        <w:t>un voucher possède un statut, une date d’expiration et une preuve d’utilisation ;</w:t>
      </w:r>
    </w:p>
    <w:p>
      <w:pPr>
        <w:pStyle w:val="ListBullet"/>
      </w:pPr>
      <w:r>
        <w:t>le client voit son historique complet : Miles gagnés, pending, expirés, utilisés, reversés et avantages restants ;</w:t>
      </w:r>
    </w:p>
    <w:p>
      <w:pPr>
        <w:pStyle w:val="ListBullet"/>
      </w:pPr>
      <w:r>
        <w:t>par défaut, les Miles n’ont pas de valeur monétaire et ne sont pas transférables, sauf décision explicite accompagnée de conditions adaptées.</w:t>
      </w:r>
    </w:p>
    <w:p>
      <w:pPr>
        <w:pStyle w:val="Heading2"/>
      </w:pPr>
      <w:r>
        <w:t>67.10 Interactions avec les autres applications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Surface</w:t>
            </w:r>
          </w:p>
        </w:tc>
        <w:tc>
          <w:tcPr>
            <w:tcW w:type="dxa" w:w="73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Responsabilité dans ce parcours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coverview.ch</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Présente le chat de couverture, le programme Miles et les avantages ; permet l’activation après connexion.</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Wallet</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Pose les questions, suit les demandes, affiche la carte, le solde, le shop, les vouchers et l’historique.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Admin</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Traite les escalades, configure les règles, ajuste avec justification, administre cartes, campagnes, rewards, stock, fraude, litiges et responsabilité comptable.</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Partners</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Propose des offres selon droits, scanne et valide des avantages, suit les redemptions et les règlements qui le concernent.</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Intelligence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Fournit les données contractuelles et analytiques utiles aux réponses ; certains rapports peuvent devenir des rewards ou entitlements.</w:t>
            </w:r>
          </w:p>
        </w:tc>
      </w:tr>
      <w:tr>
        <w:trPr>
          <w:cantSplit/>
        </w:trPr>
        <w:tc>
          <w:tcPr>
            <w:tcW w:type="dxa" w:w="232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CoverView Core</w:t>
            </w:r>
          </w:p>
        </w:tc>
        <w:tc>
          <w:tcPr>
            <w:tcW w:type="dxa" w:w="73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Conserve les objets canoniques, le ledger, les permissions, les preuves, les transactions et les événements communs.</w:t>
            </w:r>
          </w:p>
        </w:tc>
      </w:tr>
    </w:tbl>
    <w:p>
      <w:pPr>
        <w:pStyle w:val="Heading2"/>
        <w:keepNext/>
      </w:pPr>
      <w:r>
        <w:t>67.11 Retraite — CoverView Retire</w:t>
      </w:r>
    </w:p>
    <w:p>
      <w:pPr>
        <w:keepNext w:val="0"/>
      </w:pPr>
      <w:r>
        <w:t>L’entrée Retraite de premier niveau regroupe Aujourd’hui, Mon plan, Explorer, Stress tests et Timeline. Le même dossier du foyer contient Retirement Range, options rente/capital, budgets, décisions, simulations et suivi. Plan, Strategy et Care sont des niveaux de service du même module, non des espaces séparés. Voir Partie VI bis.</w:t>
      </w:r>
    </w:p>
    <w:p>
      <w:pPr>
        <w:pStyle w:val="Heading1"/>
        <w:keepNext/>
      </w:pPr>
      <w:r>
        <w:rPr>
          <w:rFonts w:ascii="Inter" w:hAnsi="Inter"/>
        </w:rPr>
        <w:t>68. admin.coverview.ch - Cockpit global</w:t>
      </w:r>
    </w:p>
    <w:p>
      <w:pPr>
        <w:pStyle w:val="CoverViewLead"/>
      </w:pPr>
      <w:r>
        <w:t>Admin est la mémoire opérationnelle et la tour de contrôle de CoverView. Il réunit CRM, suivi client, gestion de projet, tâches, communication, calendrier, pilotage des revenus, administration des données métier et traitement des exceptions dans une interface cohérente.</w:t>
      </w:r>
    </w:p>
    <w:p>
      <w:pPr>
        <w:pStyle w:val="Heading2"/>
        <w:keepNext/>
      </w:pPr>
      <w:r>
        <w:rPr>
          <w:rFonts w:ascii="Inter" w:hAnsi="Inter"/>
        </w:rPr>
        <w:t>68.1 Domaines</w:t>
      </w:r>
    </w:p>
    <w:p>
      <w:pPr>
        <w:pStyle w:val="ListBullet"/>
        <w:spacing w:after="50"/>
        <w:ind w:left="312" w:hanging="102"/>
      </w:pPr>
      <w:r>
        <w:rPr>
          <w:rFonts w:ascii="Inter" w:hAnsi="Inter"/>
        </w:rPr>
        <w:t>clients, prospects, leads, opportunités, ménages et relations ;</w:t>
      </w:r>
    </w:p>
    <w:p>
      <w:pPr>
        <w:pStyle w:val="ListBullet"/>
        <w:spacing w:after="50"/>
        <w:ind w:left="312" w:hanging="102"/>
      </w:pPr>
      <w:r>
        <w:rPr>
          <w:rFonts w:ascii="Inter" w:hAnsi="Inter"/>
        </w:rPr>
        <w:t>vue client 360 : contrats, besoins, analyses, objectifs, dossiers, communications et historique ;</w:t>
      </w:r>
    </w:p>
    <w:p>
      <w:pPr>
        <w:pStyle w:val="ListBullet"/>
        <w:spacing w:after="50"/>
        <w:ind w:left="312" w:hanging="102"/>
      </w:pPr>
      <w:r>
        <w:rPr>
          <w:rFonts w:ascii="Inter" w:hAnsi="Inter"/>
        </w:rPr>
        <w:t>projets, dossiers, demandes, tâches, checklists, prochaines actions et Kanban ;</w:t>
      </w:r>
    </w:p>
    <w:p>
      <w:pPr>
        <w:pStyle w:val="ListBullet"/>
        <w:spacing w:after="50"/>
        <w:ind w:left="312" w:hanging="102"/>
      </w:pPr>
      <w:r>
        <w:rPr>
          <w:rFonts w:ascii="Inter" w:hAnsi="Inter"/>
        </w:rPr>
        <w:t>emails, appels, rendez-vous, notes, calendrier et timeline d’activité ;</w:t>
      </w:r>
    </w:p>
    <w:p>
      <w:pPr>
        <w:pStyle w:val="ListBullet"/>
        <w:spacing w:after="50"/>
        <w:ind w:left="312" w:hanging="102"/>
      </w:pPr>
      <w:r>
        <w:rPr>
          <w:rFonts w:ascii="Inter" w:hAnsi="Inter"/>
        </w:rPr>
        <w:t>pipeline commercial, probabilités, revenus estimés, objectifs et prévisions ;</w:t>
      </w:r>
    </w:p>
    <w:p>
      <w:pPr>
        <w:pStyle w:val="ListBullet"/>
        <w:spacing w:after="50"/>
        <w:ind w:left="312" w:hanging="102"/>
      </w:pPr>
      <w:r>
        <w:rPr>
          <w:rFonts w:ascii="Inter" w:hAnsi="Inter"/>
        </w:rPr>
        <w:t>contrats, documents, signatures, procurations et mandats ;</w:t>
      </w:r>
    </w:p>
    <w:p>
      <w:pPr>
        <w:pStyle w:val="ListBullet"/>
        <w:spacing w:after="50"/>
        <w:ind w:left="312" w:hanging="102"/>
      </w:pPr>
      <w:r>
        <w:rPr>
          <w:rFonts w:ascii="Inter" w:hAnsi="Inter"/>
        </w:rPr>
        <w:t>partenaires, commissions, montants dus et paiements ;</w:t>
      </w:r>
    </w:p>
    <w:p>
      <w:pPr>
        <w:pStyle w:val="ListBullet"/>
        <w:spacing w:after="50"/>
        <w:ind w:left="312" w:hanging="102"/>
      </w:pPr>
      <w:r>
        <w:rPr>
          <w:rFonts w:ascii="Inter" w:hAnsi="Inter"/>
        </w:rPr>
        <w:t>compagnies, produits, fonds, frais, garanties et benchmarks ;</w:t>
      </w:r>
    </w:p>
    <w:p>
      <w:pPr>
        <w:pStyle w:val="ListBullet"/>
        <w:spacing w:after="50"/>
        <w:ind w:left="312" w:hanging="102"/>
      </w:pPr>
      <w:r>
        <w:rPr>
          <w:rFonts w:ascii="Inter" w:hAnsi="Inter"/>
        </w:rPr>
        <w:t>règles, hypothèses, paramètres et versions de moteurs ;</w:t>
      </w:r>
    </w:p>
    <w:p>
      <w:pPr>
        <w:pStyle w:val="ListBullet"/>
        <w:spacing w:after="50"/>
        <w:ind w:left="312" w:hanging="102"/>
      </w:pPr>
      <w:r>
        <w:rPr>
          <w:rFonts w:ascii="Inter" w:hAnsi="Inter"/>
        </w:rPr>
        <w:t>recherches LPP et récupérations de contrats ;</w:t>
      </w:r>
    </w:p>
    <w:p>
      <w:pPr>
        <w:pStyle w:val="ListBullet"/>
        <w:spacing w:after="50"/>
        <w:ind w:left="312" w:hanging="102"/>
      </w:pPr>
      <w:r>
        <w:rPr>
          <w:rFonts w:ascii="Inter" w:hAnsi="Inter"/>
        </w:rPr>
        <w:t>files de validation, anomalies, emails non rattachés et synchronisations échouées ;</w:t>
      </w:r>
    </w:p>
    <w:p>
      <w:pPr>
        <w:pStyle w:val="ListBullet"/>
        <w:spacing w:after="50"/>
        <w:ind w:left="312" w:hanging="102"/>
      </w:pPr>
      <w:r>
        <w:rPr>
          <w:rFonts w:ascii="Inter" w:hAnsi="Inter"/>
        </w:rPr>
        <w:t>audits, rapports, recommandations et revues annuelles ;</w:t>
      </w:r>
    </w:p>
    <w:p>
      <w:pPr>
        <w:pStyle w:val="ListBullet"/>
        <w:spacing w:after="50"/>
        <w:ind w:left="312" w:hanging="102"/>
      </w:pPr>
      <w:r>
        <w:rPr>
          <w:rFonts w:ascii="Inter" w:hAnsi="Inter"/>
        </w:rPr>
        <w:t>contenus, FAQ et études de cas si Admin sert aussi de CMS ;</w:t>
      </w:r>
    </w:p>
    <w:p>
      <w:pPr>
        <w:pStyle w:val="ListBullet"/>
        <w:spacing w:after="50"/>
        <w:ind w:left="312" w:hanging="102"/>
      </w:pPr>
      <w:r>
        <w:rPr>
          <w:rFonts w:ascii="Inter" w:hAnsi="Inter"/>
        </w:rPr>
        <w:t>logs, permissions, intégrations, automatisations et configuration.</w:t>
      </w:r>
    </w:p>
    <w:p>
      <w:pPr>
        <w:pStyle w:val="ListBullet"/>
      </w:pPr>
      <w:r>
        <w:t>questions de couverture, réponses nécessitant une revue, dossiers d’assistance et sinistres ;</w:t>
      </w:r>
    </w:p>
    <w:p>
      <w:pPr>
        <w:pStyle w:val="ListBullet"/>
      </w:pPr>
      <w:r>
        <w:t>cartes digitales, comptes Miles, règles de gain, campagnes, rewards, redemptions, vouchers et avantages partenaires ;</w:t>
      </w:r>
    </w:p>
    <w:p>
      <w:pPr>
        <w:pStyle w:val="Heading2"/>
        <w:keepNext/>
      </w:pPr>
      <w:r>
        <w:rPr>
          <w:rFonts w:ascii="Inter" w:hAnsi="Inter"/>
        </w:rPr>
        <w:t>68.2 Vues opérationnelles</w:t>
      </w:r>
    </w:p>
    <w:p>
      <w:pPr>
        <w:pStyle w:val="ListBullet"/>
        <w:spacing w:after="50"/>
        <w:ind w:left="312" w:hanging="102"/>
      </w:pPr>
      <w:r>
        <w:rPr>
          <w:rFonts w:ascii="Inter" w:hAnsi="Inter"/>
        </w:rPr>
        <w:t>leads entrants, non attribués, sans prochaine action ou sans réponse ;</w:t>
      </w:r>
    </w:p>
    <w:p>
      <w:pPr>
        <w:pStyle w:val="ListBullet"/>
        <w:spacing w:after="50"/>
        <w:ind w:left="312" w:hanging="102"/>
      </w:pPr>
      <w:r>
        <w:rPr>
          <w:rFonts w:ascii="Inter" w:hAnsi="Inter"/>
        </w:rPr>
        <w:t>pipeline commercial par étape, source, conseiller et date de clôture attendue ;</w:t>
      </w:r>
    </w:p>
    <w:p>
      <w:pPr>
        <w:pStyle w:val="ListBullet"/>
        <w:spacing w:after="50"/>
        <w:ind w:left="312" w:hanging="102"/>
      </w:pPr>
      <w:r>
        <w:rPr>
          <w:rFonts w:ascii="Inter" w:hAnsi="Inter"/>
        </w:rPr>
        <w:t>tâches du jour, en retard, bloquées ou dépendantes d’un tiers ;</w:t>
      </w:r>
    </w:p>
    <w:p>
      <w:pPr>
        <w:pStyle w:val="ListBullet"/>
        <w:spacing w:after="50"/>
        <w:ind w:left="312" w:hanging="102"/>
      </w:pPr>
      <w:r>
        <w:rPr>
          <w:rFonts w:ascii="Inter" w:hAnsi="Inter"/>
        </w:rPr>
        <w:t>rendez-vous à venir et comptes rendus à compléter ;</w:t>
      </w:r>
    </w:p>
    <w:p>
      <w:pPr>
        <w:pStyle w:val="ListBullet"/>
        <w:spacing w:after="50"/>
        <w:ind w:left="312" w:hanging="102"/>
      </w:pPr>
      <w:r>
        <w:rPr>
          <w:rFonts w:ascii="Inter" w:hAnsi="Inter"/>
        </w:rPr>
        <w:t>demandes de documents, recherches LPP et dossiers clients en cours ;</w:t>
      </w:r>
    </w:p>
    <w:p>
      <w:pPr>
        <w:pStyle w:val="ListBullet"/>
        <w:spacing w:after="50"/>
        <w:ind w:left="312" w:hanging="102"/>
      </w:pPr>
      <w:r>
        <w:rPr>
          <w:rFonts w:ascii="Inter" w:hAnsi="Inter"/>
        </w:rPr>
        <w:t>compagnies sans réponse et relances à envoyer ;</w:t>
      </w:r>
    </w:p>
    <w:p>
      <w:pPr>
        <w:pStyle w:val="ListBullet"/>
        <w:spacing w:after="50"/>
        <w:ind w:left="312" w:hanging="102"/>
      </w:pPr>
      <w:r>
        <w:rPr>
          <w:rFonts w:ascii="Inter" w:hAnsi="Inter"/>
        </w:rPr>
        <w:t>extractions nécessitant une validation ;</w:t>
      </w:r>
    </w:p>
    <w:p>
      <w:pPr>
        <w:pStyle w:val="ListBullet"/>
        <w:spacing w:after="50"/>
        <w:ind w:left="312" w:hanging="102"/>
      </w:pPr>
      <w:r>
        <w:rPr>
          <w:rFonts w:ascii="Inter" w:hAnsi="Inter"/>
        </w:rPr>
        <w:t>procurations à signer ou arrivant à expiration ;</w:t>
      </w:r>
    </w:p>
    <w:p>
      <w:pPr>
        <w:pStyle w:val="ListBullet"/>
        <w:spacing w:after="50"/>
        <w:ind w:left="312" w:hanging="102"/>
      </w:pPr>
      <w:r>
        <w:rPr>
          <w:rFonts w:ascii="Inter" w:hAnsi="Inter"/>
        </w:rPr>
        <w:t>réponses et emails non rattachés ;</w:t>
      </w:r>
    </w:p>
    <w:p>
      <w:pPr>
        <w:pStyle w:val="ListBullet"/>
        <w:spacing w:after="50"/>
        <w:ind w:left="312" w:hanging="102"/>
      </w:pPr>
      <w:r>
        <w:rPr>
          <w:rFonts w:ascii="Inter" w:hAnsi="Inter"/>
        </w:rPr>
        <w:t>produits incomplets, non sourcés ou à réviser ;</w:t>
      </w:r>
    </w:p>
    <w:p>
      <w:pPr>
        <w:pStyle w:val="ListBullet"/>
        <w:spacing w:after="50"/>
        <w:ind w:left="312" w:hanging="102"/>
      </w:pPr>
      <w:r>
        <w:rPr>
          <w:rFonts w:ascii="Inter" w:hAnsi="Inter"/>
        </w:rPr>
        <w:t>revues annuelles à lancer ;</w:t>
      </w:r>
    </w:p>
    <w:p>
      <w:pPr>
        <w:pStyle w:val="ListBullet"/>
        <w:spacing w:after="50"/>
        <w:ind w:left="312" w:hanging="102"/>
      </w:pPr>
      <w:r>
        <w:rPr>
          <w:rFonts w:ascii="Inter" w:hAnsi="Inter"/>
        </w:rPr>
        <w:t>revenus réalisés, pipeline pondéré, objectifs et écarts ;</w:t>
      </w:r>
    </w:p>
    <w:p>
      <w:pPr>
        <w:pStyle w:val="ListBullet"/>
        <w:spacing w:after="50"/>
        <w:ind w:left="312" w:hanging="102"/>
      </w:pPr>
      <w:r>
        <w:rPr>
          <w:rFonts w:ascii="Inter" w:hAnsi="Inter"/>
        </w:rPr>
        <w:t>prévisions mensuelles, trimestrielles et annuelles avec accès au détail sous-jacent.</w:t>
      </w:r>
    </w:p>
    <w:p>
      <w:pPr>
        <w:pStyle w:val="ListBullet"/>
      </w:pPr>
      <w:r>
        <w:t>réponses de couverture incertaines, escaladées ou sans source suffisante ;</w:t>
      </w:r>
    </w:p>
    <w:p>
      <w:pPr>
        <w:pStyle w:val="ListBullet"/>
      </w:pPr>
      <w:r>
        <w:t>redemptions en échec, cartes révoquées, ajustements Miles, fraude potentielle, stock faible et règlements partenaires à traiter ;</w:t>
      </w:r>
    </w:p>
    <w:p>
      <w:pPr>
        <w:pStyle w:val="Heading2"/>
      </w:pPr>
      <w:r>
        <w:t>68.3 CRM, leads et opportunités</w:t>
      </w:r>
    </w:p>
    <w:p>
      <w:pPr/>
      <w:r>
        <w:t>Les leads peuvent être saisis manuellement dans Admin ou provenir du site, de Wallet, de Partners, d’un formulaire, d’une recommandation, d’un email ou d’un import. Le système tente de dédupliquer l’identité, conserve la source d’acquisition et crée une ou plusieurs opportunités lorsque les besoins sont distincts.</w:t>
      </w:r>
    </w:p>
    <w:p>
      <w:pPr>
        <w:pStyle w:val="ListBullet"/>
        <w:spacing w:after="50"/>
        <w:ind w:left="312" w:hanging="102"/>
      </w:pPr>
      <w:r>
        <w:rPr>
          <w:rFonts w:ascii="Inter" w:hAnsi="Inter"/>
        </w:rPr>
        <w:t>source, campagne, partenaire éventuel et date d’entrée ;</w:t>
      </w:r>
    </w:p>
    <w:p>
      <w:pPr>
        <w:pStyle w:val="ListBullet"/>
        <w:spacing w:after="50"/>
        <w:ind w:left="312" w:hanging="102"/>
      </w:pPr>
      <w:r>
        <w:rPr>
          <w:rFonts w:ascii="Inter" w:hAnsi="Inter"/>
        </w:rPr>
        <w:t>responsable, équipe et droits de visibilité ;</w:t>
      </w:r>
    </w:p>
    <w:p>
      <w:pPr>
        <w:pStyle w:val="ListBullet"/>
        <w:spacing w:after="50"/>
        <w:ind w:left="312" w:hanging="102"/>
      </w:pPr>
      <w:r>
        <w:rPr>
          <w:rFonts w:ascii="Inter" w:hAnsi="Inter"/>
        </w:rPr>
        <w:t>besoin, produit ou service envisagé ;</w:t>
      </w:r>
    </w:p>
    <w:p>
      <w:pPr>
        <w:pStyle w:val="ListBullet"/>
        <w:spacing w:after="50"/>
        <w:ind w:left="312" w:hanging="102"/>
      </w:pPr>
      <w:r>
        <w:rPr>
          <w:rFonts w:ascii="Inter" w:hAnsi="Inter"/>
        </w:rPr>
        <w:t>étape commerciale configurable ;</w:t>
      </w:r>
    </w:p>
    <w:p>
      <w:pPr>
        <w:pStyle w:val="ListBullet"/>
        <w:spacing w:after="50"/>
        <w:ind w:left="312" w:hanging="102"/>
      </w:pPr>
      <w:r>
        <w:rPr>
          <w:rFonts w:ascii="Inter" w:hAnsi="Inter"/>
        </w:rPr>
        <w:t>probabilité de conversion et niveau de confiance ;</w:t>
      </w:r>
    </w:p>
    <w:p>
      <w:pPr>
        <w:pStyle w:val="ListBullet"/>
        <w:spacing w:after="50"/>
        <w:ind w:left="312" w:hanging="102"/>
      </w:pPr>
      <w:r>
        <w:rPr>
          <w:rFonts w:ascii="Inter" w:hAnsi="Inter"/>
        </w:rPr>
        <w:t>revenu estimé, date de décision et horizon d’encaissement ;</w:t>
      </w:r>
    </w:p>
    <w:p>
      <w:pPr>
        <w:pStyle w:val="ListBullet"/>
        <w:spacing w:after="50"/>
        <w:ind w:left="312" w:hanging="102"/>
      </w:pPr>
      <w:r>
        <w:rPr>
          <w:rFonts w:ascii="Inter" w:hAnsi="Inter"/>
        </w:rPr>
        <w:t>prochaine action, échéance et dernière activité ;</w:t>
      </w:r>
    </w:p>
    <w:p>
      <w:pPr>
        <w:pStyle w:val="ListBullet"/>
        <w:spacing w:after="50"/>
        <w:ind w:left="312" w:hanging="102"/>
      </w:pPr>
      <w:r>
        <w:rPr>
          <w:rFonts w:ascii="Inter" w:hAnsi="Inter"/>
        </w:rPr>
        <w:t>niveau de chaleur, priorité, tags et notes ;</w:t>
      </w:r>
    </w:p>
    <w:p>
      <w:pPr>
        <w:pStyle w:val="ListBullet"/>
        <w:spacing w:after="50"/>
        <w:ind w:left="312" w:hanging="102"/>
      </w:pPr>
      <w:r>
        <w:rPr>
          <w:rFonts w:ascii="Inter" w:hAnsi="Inter"/>
        </w:rPr>
        <w:t>motif de perte, de report ou de mise en sommeil.</w:t>
      </w:r>
    </w:p>
    <w:p>
      <w:pPr>
        <w:pStyle w:val="CoverViewSmall"/>
      </w:pPr>
      <w:r>
        <w:t>Exemple d’étapes : Nouveau -&gt; À contacter -&gt; Contacté -&gt; Qualifié -&gt; Rendez-vous planifié -&gt; Analyse en cours -&gt; Proposition envoyée -&gt; Décision en attente -&gt; Signé / gagné -&gt; Perdu ou dormant. Ces étapes doivent rester configurables par type d’opportunité plutôt que figées dans le code.</w:t>
      </w:r>
    </w:p>
    <w:p>
      <w:pPr>
        <w:pStyle w:val="Heading2"/>
      </w:pPr>
      <w:r>
        <w:t>68.4 Vue client 360 et suivi dans le temps</w:t>
      </w:r>
    </w:p>
    <w:p>
      <w:pPr/>
      <w:r>
        <w:t>La fiche client doit répondre immédiatement à : que possède cette personne, quels besoins ont été identifiés, quels dossiers sont ouverts, où en est chacun d’eux et quelle est la prochaine action. Elle agrège sans dupliquer les données des domaines spécialisés.</w:t>
      </w:r>
    </w:p>
    <w:p>
      <w:pPr>
        <w:pStyle w:val="ListBullet"/>
        <w:spacing w:after="50"/>
        <w:ind w:left="312" w:hanging="102"/>
      </w:pPr>
      <w:r>
        <w:rPr>
          <w:rFonts w:ascii="Inter" w:hAnsi="Inter"/>
        </w:rPr>
        <w:t>identité, ménage, coordonnées, consentements et préférences ;</w:t>
      </w:r>
    </w:p>
    <w:p>
      <w:pPr>
        <w:pStyle w:val="ListBullet"/>
        <w:spacing w:after="50"/>
        <w:ind w:left="312" w:hanging="102"/>
      </w:pPr>
      <w:r>
        <w:rPr>
          <w:rFonts w:ascii="Inter" w:hAnsi="Inter"/>
        </w:rPr>
        <w:t>contrats, produits liés, documents, garanties et valeurs ;</w:t>
      </w:r>
    </w:p>
    <w:p>
      <w:pPr>
        <w:pStyle w:val="ListBullet"/>
        <w:spacing w:after="50"/>
        <w:ind w:left="312" w:hanging="102"/>
      </w:pPr>
      <w:r>
        <w:rPr>
          <w:rFonts w:ascii="Inter" w:hAnsi="Inter"/>
        </w:rPr>
        <w:t>audits, benchmarks, objectifs retraite, simulations et recommandations ;</w:t>
      </w:r>
    </w:p>
    <w:p>
      <w:pPr>
        <w:pStyle w:val="ListBullet"/>
        <w:spacing w:after="50"/>
        <w:ind w:left="312" w:hanging="102"/>
      </w:pPr>
      <w:r>
        <w:rPr>
          <w:rFonts w:ascii="Inter" w:hAnsi="Inter"/>
        </w:rPr>
        <w:t>opportunités actuelles et historiques ;</w:t>
      </w:r>
    </w:p>
    <w:p>
      <w:pPr>
        <w:pStyle w:val="ListBullet"/>
        <w:spacing w:after="50"/>
        <w:ind w:left="312" w:hanging="102"/>
      </w:pPr>
      <w:r>
        <w:rPr>
          <w:rFonts w:ascii="Inter" w:hAnsi="Inter"/>
        </w:rPr>
        <w:t>dossiers actifs : récupération de contrats, LPP, migration, revue, résiliation ou autre demande ;</w:t>
      </w:r>
    </w:p>
    <w:p>
      <w:pPr>
        <w:pStyle w:val="ListBullet"/>
        <w:spacing w:after="50"/>
        <w:ind w:left="312" w:hanging="102"/>
      </w:pPr>
      <w:r>
        <w:rPr>
          <w:rFonts w:ascii="Inter" w:hAnsi="Inter"/>
        </w:rPr>
        <w:t>emails, appels, rendez-vous, notes et documents dans une timeline unique ;</w:t>
      </w:r>
    </w:p>
    <w:p>
      <w:pPr>
        <w:pStyle w:val="ListBullet"/>
        <w:spacing w:after="50"/>
        <w:ind w:left="312" w:hanging="102"/>
      </w:pPr>
      <w:r>
        <w:rPr>
          <w:rFonts w:ascii="Inter" w:hAnsi="Inter"/>
        </w:rPr>
        <w:t>tâches ouvertes, prochaine action, échéances et blocages ;</w:t>
      </w:r>
    </w:p>
    <w:p>
      <w:pPr>
        <w:pStyle w:val="ListBullet"/>
        <w:spacing w:after="50"/>
        <w:ind w:left="312" w:hanging="102"/>
      </w:pPr>
      <w:r>
        <w:rPr>
          <w:rFonts w:ascii="Inter" w:hAnsi="Inter"/>
        </w:rPr>
        <w:t>source du client, partenaire éventuel, revenus générés et potentiel estimé ;</w:t>
      </w:r>
    </w:p>
    <w:p>
      <w:pPr>
        <w:pStyle w:val="ListBullet"/>
        <w:spacing w:after="50"/>
        <w:ind w:left="312" w:hanging="102"/>
      </w:pPr>
      <w:r>
        <w:rPr>
          <w:rFonts w:ascii="Inter" w:hAnsi="Inter"/>
        </w:rPr>
        <w:t>historique des décisions, changements de statut et interventions automatiques.</w:t>
      </w:r>
    </w:p>
    <w:p>
      <w:pPr>
        <w:pStyle w:val="Heading2"/>
      </w:pPr>
      <w:r>
        <w:t>68.5 Gestion de projet, dossiers, tâches et Kanban</w:t>
      </w:r>
    </w:p>
    <w:p>
      <w:pPr/>
      <w:r>
        <w:t>Chaque résultat à délivrer doit pouvoir devenir un dossier ou projet structuré. Les tâches sont visibles en liste, calendrier ou Kanban et restent reliées au client, au lead, à l’opportunité et aux documents concernés.</w:t>
      </w:r>
    </w:p>
    <w:p>
      <w:pPr>
        <w:pStyle w:val="ListBullet"/>
        <w:spacing w:after="50"/>
        <w:ind w:left="312" w:hanging="102"/>
      </w:pPr>
      <w:r>
        <w:rPr>
          <w:rFonts w:ascii="Inter" w:hAnsi="Inter"/>
        </w:rPr>
        <w:t>templates de projet pour recherche LPP, récupération de contrats, audit 3P, onboarding, proposition, migration, revue annuelle ou sinistre ;</w:t>
      </w:r>
    </w:p>
    <w:p>
      <w:pPr>
        <w:pStyle w:val="ListBullet"/>
        <w:spacing w:after="50"/>
        <w:ind w:left="312" w:hanging="102"/>
      </w:pPr>
      <w:r>
        <w:rPr>
          <w:rFonts w:ascii="Inter" w:hAnsi="Inter"/>
        </w:rPr>
        <w:t>statut, priorité, responsable, échéance, SLA, dépendances et motif de blocage ;</w:t>
      </w:r>
    </w:p>
    <w:p>
      <w:pPr>
        <w:pStyle w:val="ListBullet"/>
        <w:spacing w:after="50"/>
        <w:ind w:left="312" w:hanging="102"/>
      </w:pPr>
      <w:r>
        <w:rPr>
          <w:rFonts w:ascii="Inter" w:hAnsi="Inter"/>
        </w:rPr>
        <w:t>checklists, sous-tâches, pièces attendues et conditions de complétion ;</w:t>
      </w:r>
    </w:p>
    <w:p>
      <w:pPr>
        <w:pStyle w:val="ListBullet"/>
        <w:spacing w:after="50"/>
        <w:ind w:left="312" w:hanging="102"/>
      </w:pPr>
      <w:r>
        <w:rPr>
          <w:rFonts w:ascii="Inter" w:hAnsi="Inter"/>
        </w:rPr>
        <w:t>liens vers emails, rendez-vous, documents, contrats, signatures et résultats analytiques ;</w:t>
      </w:r>
    </w:p>
    <w:p>
      <w:pPr>
        <w:pStyle w:val="ListBullet"/>
        <w:spacing w:after="50"/>
        <w:ind w:left="312" w:hanging="102"/>
      </w:pPr>
      <w:r>
        <w:rPr>
          <w:rFonts w:ascii="Inter" w:hAnsi="Inter"/>
        </w:rPr>
        <w:t>création manuelle ou automatique des tâches selon les événements du workflow ;</w:t>
      </w:r>
    </w:p>
    <w:p>
      <w:pPr>
        <w:pStyle w:val="ListBullet"/>
        <w:spacing w:after="50"/>
        <w:ind w:left="312" w:hanging="102"/>
      </w:pPr>
      <w:r>
        <w:rPr>
          <w:rFonts w:ascii="Inter" w:hAnsi="Inter"/>
        </w:rPr>
        <w:t>colonnes Kanban configurables par type de dossier ou d’équipe ;</w:t>
      </w:r>
    </w:p>
    <w:p>
      <w:pPr>
        <w:pStyle w:val="ListBullet"/>
        <w:spacing w:after="50"/>
        <w:ind w:left="312" w:hanging="102"/>
      </w:pPr>
      <w:r>
        <w:rPr>
          <w:rFonts w:ascii="Inter" w:hAnsi="Inter"/>
        </w:rPr>
        <w:t>détection des tâches en retard, dossiers sans mouvement et objets sans prochaine action ;</w:t>
      </w:r>
    </w:p>
    <w:p>
      <w:pPr>
        <w:pStyle w:val="ListBullet"/>
        <w:spacing w:after="50"/>
        <w:ind w:left="312" w:hanging="102"/>
      </w:pPr>
      <w:r>
        <w:rPr>
          <w:rFonts w:ascii="Inter" w:hAnsi="Inter"/>
        </w:rPr>
        <w:t>vue personnelle « Mon travail », vue équipe et vue transversale par client.</w:t>
      </w:r>
    </w:p>
    <w:p>
      <w:pPr>
        <w:pStyle w:val="Heading2"/>
      </w:pPr>
      <w:r>
        <w:t>68.6 Dashboards, revenus, objectifs et prévisions</w:t>
      </w:r>
    </w:p>
    <w:p>
      <w:pPr/>
      <w:r>
        <w:t>Les dashboards doivent combiner pilotage commercial, charge opérationnelle et résultats financiers. Chaque indicateur doit permettre un drill-down jusqu’aux leads, opportunités, contrats ou écritures qui le composent.</w:t>
      </w:r>
    </w:p>
    <w:p>
      <w:pPr>
        <w:pStyle w:val="ListBullet"/>
        <w:spacing w:after="50"/>
        <w:ind w:left="312" w:hanging="102"/>
      </w:pPr>
      <w:r>
        <w:rPr>
          <w:rFonts w:ascii="Inter" w:hAnsi="Inter"/>
        </w:rPr>
        <w:t>leads reçus, qualifiés, actifs, gagnés et perdus par source ;</w:t>
      </w:r>
    </w:p>
    <w:p>
      <w:pPr>
        <w:pStyle w:val="ListBullet"/>
        <w:spacing w:after="50"/>
        <w:ind w:left="312" w:hanging="102"/>
      </w:pPr>
      <w:r>
        <w:rPr>
          <w:rFonts w:ascii="Inter" w:hAnsi="Inter"/>
        </w:rPr>
        <w:t>entonnoir de conversion, vitesse de progression et temps moyen par étape ;</w:t>
      </w:r>
    </w:p>
    <w:p>
      <w:pPr>
        <w:pStyle w:val="ListBullet"/>
        <w:spacing w:after="50"/>
        <w:ind w:left="312" w:hanging="102"/>
      </w:pPr>
      <w:r>
        <w:rPr>
          <w:rFonts w:ascii="Inter" w:hAnsi="Inter"/>
        </w:rPr>
        <w:t>pipeline brut et pipeline pondéré par probabilité ;</w:t>
      </w:r>
    </w:p>
    <w:p>
      <w:pPr>
        <w:pStyle w:val="ListBullet"/>
        <w:spacing w:after="50"/>
        <w:ind w:left="312" w:hanging="102"/>
      </w:pPr>
      <w:r>
        <w:rPr>
          <w:rFonts w:ascii="Inter" w:hAnsi="Inter"/>
        </w:rPr>
        <w:t>revenus estimés par mois, trimestre, année, conseiller, service, compagnie ou partenaire ;</w:t>
      </w:r>
    </w:p>
    <w:p>
      <w:pPr>
        <w:pStyle w:val="ListBullet"/>
        <w:spacing w:after="50"/>
        <w:ind w:left="312" w:hanging="102"/>
      </w:pPr>
      <w:r>
        <w:rPr>
          <w:rFonts w:ascii="Inter" w:hAnsi="Inter"/>
        </w:rPr>
        <w:t>revenus signés, acquis, facturés, attendus, encaissés et reversés, selon les définitions comptables retenues ;</w:t>
      </w:r>
    </w:p>
    <w:p>
      <w:pPr>
        <w:pStyle w:val="ListBullet"/>
        <w:spacing w:after="50"/>
        <w:ind w:left="312" w:hanging="102"/>
      </w:pPr>
      <w:r>
        <w:rPr>
          <w:rFonts w:ascii="Inter" w:hAnsi="Inter"/>
        </w:rPr>
        <w:t>objectifs de chiffre d’affaires et de conversion comparés au réalisé et au forecast ;</w:t>
      </w:r>
    </w:p>
    <w:p>
      <w:pPr>
        <w:pStyle w:val="ListBullet"/>
        <w:spacing w:after="50"/>
        <w:ind w:left="312" w:hanging="102"/>
      </w:pPr>
      <w:r>
        <w:rPr>
          <w:rFonts w:ascii="Inter" w:hAnsi="Inter"/>
        </w:rPr>
        <w:t>commissions à recevoir, montants dus aux partenaires et paiements effectués ;</w:t>
      </w:r>
    </w:p>
    <w:p>
      <w:pPr>
        <w:pStyle w:val="ListBullet"/>
        <w:spacing w:after="50"/>
        <w:ind w:left="312" w:hanging="102"/>
      </w:pPr>
      <w:r>
        <w:rPr>
          <w:rFonts w:ascii="Inter" w:hAnsi="Inter"/>
        </w:rPr>
        <w:t>capacité opérationnelle : volume de tâches, retards, dossiers bloqués et temps de cycle ;</w:t>
      </w:r>
    </w:p>
    <w:p>
      <w:pPr>
        <w:pStyle w:val="ListBullet"/>
        <w:spacing w:after="50"/>
        <w:ind w:left="312" w:hanging="102"/>
      </w:pPr>
      <w:r>
        <w:rPr>
          <w:rFonts w:ascii="Inter" w:hAnsi="Inter"/>
        </w:rPr>
        <w:t>précision historique des prévisions et écarts entre probabilité déclarée, conversion réelle et revenu final.</w:t>
      </w:r>
    </w:p>
    <w:p>
      <w:pPr>
        <w:pStyle w:val="CoverViewSmall"/>
      </w:pPr>
      <w:r>
        <w:t>Exemple : une opportunité estimée à CHF 8’000 avec une probabilité de 40 % contribue pour CHF 3’200 au pipeline pondéré. Cette prévision commerciale doit rester clairement séparée du chiffre d’affaires réellement acquis ou encaissé.</w:t>
      </w:r>
    </w:p>
    <w:p>
      <w:pPr>
        <w:pStyle w:val="Heading2"/>
      </w:pPr>
      <w:r>
        <w:t>68.7 Intégration Google Calendar</w:t>
      </w:r>
    </w:p>
    <w:p>
      <w:pPr/>
      <w:r>
        <w:t>L’intégration Google Calendar peut être bidirectionnelle. Un rendez-vous créé dans Admin ou dans un calendrier professionnel sélectionné est rattaché au bon lead, client, opportunité ou dossier et apparaît dans sa timeline.</w:t>
      </w:r>
    </w:p>
    <w:p>
      <w:pPr>
        <w:pStyle w:val="ListBullet"/>
        <w:spacing w:after="50"/>
        <w:ind w:left="312" w:hanging="102"/>
      </w:pPr>
      <w:r>
        <w:rPr>
          <w:rFonts w:ascii="Inter" w:hAnsi="Inter"/>
        </w:rPr>
        <w:t>lecture des disponibilités et création de rendez-vous ;</w:t>
      </w:r>
    </w:p>
    <w:p>
      <w:pPr>
        <w:pStyle w:val="ListBullet"/>
        <w:spacing w:after="50"/>
        <w:ind w:left="312" w:hanging="102"/>
      </w:pPr>
      <w:r>
        <w:rPr>
          <w:rFonts w:ascii="Inter" w:hAnsi="Inter"/>
        </w:rPr>
        <w:t>synchronisation des changements, annulations et participants ;</w:t>
      </w:r>
    </w:p>
    <w:p>
      <w:pPr>
        <w:pStyle w:val="ListBullet"/>
        <w:spacing w:after="50"/>
        <w:ind w:left="312" w:hanging="102"/>
      </w:pPr>
      <w:r>
        <w:rPr>
          <w:rFonts w:ascii="Inter" w:hAnsi="Inter"/>
        </w:rPr>
        <w:t>lien Google Meet, lieu, type de rendez-vous et objectifs ;</w:t>
      </w:r>
    </w:p>
    <w:p>
      <w:pPr>
        <w:pStyle w:val="ListBullet"/>
        <w:spacing w:after="50"/>
        <w:ind w:left="312" w:hanging="102"/>
      </w:pPr>
      <w:r>
        <w:rPr>
          <w:rFonts w:ascii="Inter" w:hAnsi="Inter"/>
        </w:rPr>
        <w:t>rappels et tâches préparatoires automatiques ;</w:t>
      </w:r>
    </w:p>
    <w:p>
      <w:pPr>
        <w:pStyle w:val="ListBullet"/>
        <w:spacing w:after="50"/>
        <w:ind w:left="312" w:hanging="102"/>
      </w:pPr>
      <w:r>
        <w:rPr>
          <w:rFonts w:ascii="Inter" w:hAnsi="Inter"/>
        </w:rPr>
        <w:t>après le rendez-vous : demande de compte rendu, résultat, changement d’étape et prochaine action ;</w:t>
      </w:r>
    </w:p>
    <w:p>
      <w:pPr>
        <w:pStyle w:val="ListBullet"/>
        <w:spacing w:after="50"/>
        <w:ind w:left="312" w:hanging="102"/>
      </w:pPr>
      <w:r>
        <w:rPr>
          <w:rFonts w:ascii="Inter" w:hAnsi="Inter"/>
        </w:rPr>
        <w:t>sélection explicite des calendriers professionnels synchronisés afin de ne pas importer des événements privés sans lien.</w:t>
      </w:r>
    </w:p>
    <w:p>
      <w:pPr>
        <w:pStyle w:val="Heading2"/>
      </w:pPr>
      <w:r>
        <w:t>68.8 Intégration Gmail et boîte de réception opérationnelle</w:t>
      </w:r>
    </w:p>
    <w:p>
      <w:pPr/>
      <w:r>
        <w:t>Admin doit pouvoir présenter une boîte de réception orientée dossiers, et non une simple copie de Gmail. Les threads pertinents sont rapprochés aux objets CoverView et deviennent des activités exploitables.</w:t>
      </w:r>
    </w:p>
    <w:p>
      <w:pPr>
        <w:pStyle w:val="ListBullet"/>
        <w:spacing w:after="50"/>
        <w:ind w:left="312" w:hanging="102"/>
      </w:pPr>
      <w:r>
        <w:rPr>
          <w:rFonts w:ascii="Inter" w:hAnsi="Inter"/>
        </w:rPr>
        <w:t>lecture et envoi depuis les comptes ou alias Google autorisés ;</w:t>
      </w:r>
    </w:p>
    <w:p>
      <w:pPr>
        <w:pStyle w:val="ListBullet"/>
        <w:spacing w:after="50"/>
        <w:ind w:left="312" w:hanging="102"/>
      </w:pPr>
      <w:r>
        <w:rPr>
          <w:rFonts w:ascii="Inter" w:hAnsi="Inter"/>
        </w:rPr>
        <w:t>rattachement automatique par expéditeur, destinataire, thread, référence, client ou numéro de police ;</w:t>
      </w:r>
    </w:p>
    <w:p>
      <w:pPr>
        <w:pStyle w:val="ListBullet"/>
        <w:spacing w:after="50"/>
        <w:ind w:left="312" w:hanging="102"/>
      </w:pPr>
      <w:r>
        <w:rPr>
          <w:rFonts w:ascii="Inter" w:hAnsi="Inter"/>
        </w:rPr>
        <w:t>composition et réponse depuis la fiche du lead, du client ou du dossier ;</w:t>
      </w:r>
    </w:p>
    <w:p>
      <w:pPr>
        <w:pStyle w:val="ListBullet"/>
        <w:spacing w:after="50"/>
        <w:ind w:left="312" w:hanging="102"/>
      </w:pPr>
      <w:r>
        <w:rPr>
          <w:rFonts w:ascii="Inter" w:hAnsi="Inter"/>
        </w:rPr>
        <w:t>modèles pour demandes de documents, procurations, relances et suivis ;</w:t>
      </w:r>
    </w:p>
    <w:p>
      <w:pPr>
        <w:pStyle w:val="ListBullet"/>
        <w:spacing w:after="50"/>
        <w:ind w:left="312" w:hanging="102"/>
      </w:pPr>
      <w:r>
        <w:rPr>
          <w:rFonts w:ascii="Inter" w:hAnsi="Inter"/>
        </w:rPr>
        <w:t>import des pièces jointes dans le pipeline documentaire ;</w:t>
      </w:r>
    </w:p>
    <w:p>
      <w:pPr>
        <w:pStyle w:val="ListBullet"/>
        <w:spacing w:after="50"/>
        <w:ind w:left="312" w:hanging="102"/>
      </w:pPr>
      <w:r>
        <w:rPr>
          <w:rFonts w:ascii="Inter" w:hAnsi="Inter"/>
        </w:rPr>
        <w:t>création d’une tâche, d’une échéance ou d’une prochaine action depuis un message ;</w:t>
      </w:r>
    </w:p>
    <w:p>
      <w:pPr>
        <w:pStyle w:val="ListBullet"/>
        <w:spacing w:after="50"/>
        <w:ind w:left="312" w:hanging="102"/>
      </w:pPr>
      <w:r>
        <w:rPr>
          <w:rFonts w:ascii="Inter" w:hAnsi="Inter"/>
        </w:rPr>
        <w:t>file « à rattacher » lorsque la correspondance est ambiguë ;</w:t>
      </w:r>
    </w:p>
    <w:p>
      <w:pPr>
        <w:pStyle w:val="ListBullet"/>
        <w:spacing w:after="50"/>
        <w:ind w:left="312" w:hanging="102"/>
      </w:pPr>
      <w:r>
        <w:rPr>
          <w:rFonts w:ascii="Inter" w:hAnsi="Inter"/>
        </w:rPr>
        <w:t>historique complet des messages liés, sans transformer la base en archive indiscriminée de toute la boîte personnelle.</w:t>
      </w:r>
    </w:p>
    <w:p>
      <w:pPr>
        <w:pStyle w:val="Heading2"/>
      </w:pPr>
      <w:r>
        <w:t>68.9 Automatisations croisées</w:t>
      </w:r>
    </w:p>
    <w:p>
      <w:pPr/>
      <w:r>
        <w:t>Exemples d’interactions attendues entre CRM, tâches, Gmail, Calendar, documents et revenus :</w:t>
      </w:r>
    </w:p>
    <w:p>
      <w:pPr>
        <w:pStyle w:val="ListBullet"/>
        <w:spacing w:after="50"/>
        <w:ind w:left="312" w:hanging="102"/>
      </w:pPr>
      <w:r>
        <w:rPr>
          <w:rFonts w:ascii="Inter" w:hAnsi="Inter"/>
        </w:rPr>
        <w:t>un formulaire public crée le lead, l’opportunité, l’attribution et la tâche « premier contact » ;</w:t>
      </w:r>
    </w:p>
    <w:p>
      <w:pPr>
        <w:pStyle w:val="ListBullet"/>
        <w:spacing w:after="50"/>
        <w:ind w:left="312" w:hanging="102"/>
      </w:pPr>
      <w:r>
        <w:rPr>
          <w:rFonts w:ascii="Inter" w:hAnsi="Inter"/>
        </w:rPr>
        <w:t>un rendez-vous planifié déplace l’opportunité et crée les tâches de préparation ;</w:t>
      </w:r>
    </w:p>
    <w:p>
      <w:pPr>
        <w:pStyle w:val="ListBullet"/>
        <w:spacing w:after="50"/>
        <w:ind w:left="312" w:hanging="102"/>
      </w:pPr>
      <w:r>
        <w:rPr>
          <w:rFonts w:ascii="Inter" w:hAnsi="Inter"/>
        </w:rPr>
        <w:t>la fin d’un rendez-vous déclenche la saisie du résultat et interdit de laisser le dossier sans prochaine action.</w:t>
      </w:r>
    </w:p>
    <w:p>
      <w:pPr>
        <w:pStyle w:val="ListBullet"/>
        <w:spacing w:after="50"/>
        <w:ind w:left="312" w:hanging="102"/>
      </w:pPr>
      <w:r>
        <w:rPr>
          <w:rFonts w:ascii="Inter" w:hAnsi="Inter"/>
        </w:rPr>
        <w:t>une procuration signée clôture la tâche de signature, ouvre les demandes aux compagnies et lance les timers de relance ;</w:t>
      </w:r>
    </w:p>
    <w:p>
      <w:pPr>
        <w:pStyle w:val="ListBullet"/>
        <w:spacing w:after="50"/>
        <w:ind w:left="312" w:hanging="102"/>
      </w:pPr>
      <w:r>
        <w:rPr>
          <w:rFonts w:ascii="Inter" w:hAnsi="Inter"/>
        </w:rPr>
        <w:t>une réponse d’assurance rattache l’email, importe les documents, clôture l’attente et lance extraction puis audit ;</w:t>
      </w:r>
    </w:p>
    <w:p>
      <w:pPr>
        <w:pStyle w:val="ListBullet"/>
        <w:spacing w:after="50"/>
        <w:ind w:left="312" w:hanging="102"/>
      </w:pPr>
      <w:r>
        <w:rPr>
          <w:rFonts w:ascii="Inter" w:hAnsi="Inter"/>
        </w:rPr>
        <w:t>l’absence de réponse après le délai prévu envoie la relance et crée une tâche si une intervention humaine devient nécessaire ;</w:t>
      </w:r>
    </w:p>
    <w:p>
      <w:pPr>
        <w:pStyle w:val="ListBullet"/>
        <w:spacing w:after="50"/>
        <w:ind w:left="312" w:hanging="102"/>
      </w:pPr>
      <w:r>
        <w:rPr>
          <w:rFonts w:ascii="Inter" w:hAnsi="Inter"/>
        </w:rPr>
        <w:t>une proposition acceptée transforme l’opportunité en gagnée, met à jour le forecast et ouvre le dossier d’onboarding ;</w:t>
      </w:r>
    </w:p>
    <w:p>
      <w:pPr>
        <w:pStyle w:val="ListBullet"/>
        <w:spacing w:after="50"/>
        <w:ind w:left="312" w:hanging="102"/>
      </w:pPr>
      <w:r>
        <w:rPr>
          <w:rFonts w:ascii="Inter" w:hAnsi="Inter"/>
        </w:rPr>
        <w:t>la confirmation d’une commission remplace progressivement l’estimation par les montants réellement acquis, dus et encaissés ;</w:t>
      </w:r>
    </w:p>
    <w:p>
      <w:pPr>
        <w:pStyle w:val="ListBullet"/>
        <w:spacing w:after="50"/>
        <w:ind w:left="312" w:hanging="102"/>
      </w:pPr>
      <w:r>
        <w:rPr>
          <w:rFonts w:ascii="Inter" w:hAnsi="Inter"/>
        </w:rPr>
        <w:t>une revue annuelle due crée automatiquement un projet, ses tâches et le rendez-vous éventuel.</w:t>
      </w:r>
    </w:p>
    <w:p>
      <w:pPr>
        <w:pStyle w:val="Heading2"/>
      </w:pPr>
      <w:r>
        <w:t>68.10 Copilote IA global et centre de commande</w:t>
      </w:r>
    </w:p>
    <w:p>
      <w:pPr/>
      <w:r>
        <w:t>Un assistant persistant doit être accessible depuis l’ensemble d’Admin, par panneau latéral, fenêtre détachable, raccourci clavier et interface mobile. Il peut recevoir du texte, une commande vocale ou des pièces jointes. Il répond à partir des données CoverView auxquelles l’utilisateur a effectivement accès et propose des liens directs vers les objets cités.</w:t>
      </w:r>
    </w:p>
    <w:p>
      <w:pPr>
        <w:pStyle w:val="ListBullet"/>
      </w:pPr>
      <w:r>
        <w:t>« Montre-moi les leads de plus de CHF 5’000 sans prochaine action et propose une relance » ;</w:t>
      </w:r>
    </w:p>
    <w:p>
      <w:pPr>
        <w:pStyle w:val="ListBullet"/>
      </w:pPr>
      <w:r>
        <w:t>« Résume les dossiers bloqués depuis plus de dix jours et classe-les par impact » ;</w:t>
      </w:r>
    </w:p>
    <w:p>
      <w:pPr>
        <w:pStyle w:val="ListBullet"/>
      </w:pPr>
      <w:r>
        <w:t>« Crée une tâche pour rappeler Mme Dupont mardi à 14 h et rattache-la à son dossier LPP » ;</w:t>
      </w:r>
    </w:p>
    <w:p>
      <w:pPr>
        <w:pStyle w:val="ListBullet"/>
      </w:pPr>
      <w:r>
        <w:t>« Prépare le forecast à 90 jours et explique les trois principaux écarts par rapport à l’objectif » ;</w:t>
      </w:r>
    </w:p>
    <w:p>
      <w:pPr>
        <w:pStyle w:val="ListBullet"/>
      </w:pPr>
      <w:r>
        <w:t>« Crée un dossier de support pour ce client, ajoute les documents joints et assigne-moi la prochaine action » ;</w:t>
      </w:r>
    </w:p>
    <w:p>
      <w:pPr>
        <w:pStyle w:val="ListBullet"/>
      </w:pPr>
      <w:r>
        <w:t>« Prépare un email à AXA pour demander le document manquant, sans l’envoyer ».</w:t>
      </w:r>
    </w:p>
    <w:p>
      <w:pPr>
        <w:pStyle w:val="CoverViewSmall"/>
      </w:pPr>
      <w:r>
        <w:t>Chaque réponse opérationnelle indique clairement : contexte utilisé, objets trouvés, hypothèses éventuelles, actions déjà exécutées, actions seulement proposées et confirmations encore nécessaires.</w:t>
      </w:r>
    </w:p>
    <w:p>
      <w:pPr>
        <w:pStyle w:val="Heading2"/>
      </w:pPr>
      <w:r>
        <w:t>68.11 Chats contextuels dans les pages, objets et tâches</w:t>
      </w:r>
    </w:p>
    <w:p>
      <w:pPr/>
      <w:r>
        <w:t>Le même assistant doit exister au niveau des pages et des objets. Lorsqu’il est ouvert depuis une fiche client, une opportunité, un dossier, une tâche, un produit, un email ou un dashboard, il reçoit un Context Binding explicite vers cet objet et ses relations autorisées.</w:t>
      </w:r>
    </w:p>
    <w:p>
      <w:pPr>
        <w:pStyle w:val="ListBullet"/>
      </w:pPr>
      <w:r>
        <w:t>sur une fiche client : résumer la relation, détecter les actions manquantes, créer une tâche ou préparer un message ;</w:t>
      </w:r>
    </w:p>
    <w:p>
      <w:pPr>
        <w:pStyle w:val="ListBullet"/>
      </w:pPr>
      <w:r>
        <w:t>sur une tâche : expliquer son contexte, ajouter une mise à jour, modifier le statut, joindre une preuve, créer une sous-tâche ou définir la suite ;</w:t>
      </w:r>
    </w:p>
    <w:p>
      <w:pPr>
        <w:pStyle w:val="ListBullet"/>
      </w:pPr>
      <w:r>
        <w:t>sur un dossier : produire un état d’avancement, identifier les pièces manquantes, actualiser le plan et les échéances ;</w:t>
      </w:r>
    </w:p>
    <w:p>
      <w:pPr>
        <w:pStyle w:val="ListBullet"/>
      </w:pPr>
      <w:r>
        <w:t>sur un lead ou une opportunité : mettre à jour la qualification, l’étape, la probabilité, le revenu estimé et la prochaine action ;</w:t>
      </w:r>
    </w:p>
    <w:p>
      <w:pPr>
        <w:pStyle w:val="ListBullet"/>
      </w:pPr>
      <w:r>
        <w:t>sur une page produit : extraire une valeur d’un document, proposer une modification sourcée ou lancer une revue ;</w:t>
      </w:r>
    </w:p>
    <w:p>
      <w:pPr>
        <w:pStyle w:val="ListBullet"/>
      </w:pPr>
      <w:r>
        <w:t>sur un dashboard : répondre à une question analytique et permettre de descendre jusqu’aux lignes sources.</w:t>
      </w:r>
    </w:p>
    <w:p>
      <w:pPr/>
      <w:r>
        <w:t>Le contexte actif doit toujours être affiché dans l’interface - par exemple « Client : Marie Dupont / Dossier : Recherche LPP » - et l’utilisateur doit pouvoir l’élargir ou le restreindre explicitement. Une conversation liée à une tâche reste visible dans l’historique de cette tâche et dans la timeline, sans devenir une note opaque séparée du système.</w:t>
      </w:r>
    </w:p>
    <w:p>
      <w:pPr>
        <w:pStyle w:val="Heading2"/>
      </w:pPr>
      <w:r>
        <w:t>68.12 Registre d’actions, niveaux d’exécution et confirmations</w:t>
      </w:r>
    </w:p>
    <w:p>
      <w:pPr/>
      <w:r>
        <w:t>Le LLM ne doit jamais écrire directement dans PostgreSQL. Il choisit parmi un registre d’actions métier versionnées et validées par schéma. Le backend recontrôle l’identité, les droits, les contraintes, l’idempotence et les règles de confirmation au moment exact de l’exécution.</w:t>
      </w:r>
    </w:p>
    <w:p>
      <w:pPr>
        <w:pStyle w:val="ListBullet"/>
      </w:pPr>
      <w:r>
        <w:t>Lecture : rechercher, filtrer, expliquer, résumer et comparer sans modification ;</w:t>
      </w:r>
    </w:p>
    <w:p>
      <w:pPr>
        <w:pStyle w:val="ListBullet"/>
      </w:pPr>
      <w:r>
        <w:t>Brouillon : préparer un email, une note, un rapport, une checklist ou une proposition de mise à jour ;</w:t>
      </w:r>
    </w:p>
    <w:p>
      <w:pPr>
        <w:pStyle w:val="ListBullet"/>
      </w:pPr>
      <w:r>
        <w:t>Exécution réversible à faible impact : créer une tâche, ajouter une note, appliquer un tag ou enregistrer un brouillon ;</w:t>
      </w:r>
    </w:p>
    <w:p>
      <w:pPr>
        <w:pStyle w:val="ListBullet"/>
      </w:pPr>
      <w:r>
        <w:t>Confirmation explicite : envoyer un email, déplacer massivement des opportunités, publier une donnée produit, modifier un montant financier, clôturer un dossier, supprimer une donnée, lancer une signature ou déclencher une action externe ;</w:t>
      </w:r>
    </w:p>
    <w:p>
      <w:pPr>
        <w:pStyle w:val="ListBullet"/>
      </w:pPr>
      <w:r>
        <w:t>Interdiction ou escalade : action incompatible avec les droits, la conformité, une donnée manquante ou un niveau de confiance insuffisant.</w:t>
      </w:r>
    </w:p>
    <w:p>
      <w:pPr/>
      <w:r>
        <w:t>Avant une action sensible, l’assistant affiche un aperçu ou un diff : objets affectés, anciennes et nouvelles valeurs, destinataires, échéances, documents et conséquences. Une confirmation porte sur ce plan précis ; toute modification substantielle impose une nouvelle confirmation. Un mécanisme d’annulation ou de compensation doit être prévu lorsque l’opération le permet.</w:t>
      </w:r>
    </w:p>
    <w:p>
      <w:pPr>
        <w:pStyle w:val="Heading2"/>
      </w:pPr>
      <w:r>
        <w:t>68.13 Pièces jointes et matérialisation des informations</w:t>
      </w:r>
    </w:p>
    <w:p>
      <w:pPr/>
      <w:r>
        <w:t>Le chat accepte PDF, photos, scans, emails exportés, tableurs, captures et autres formats autorisés. « Matérialiser » un document signifie transformer ce qui peut l’être en objets et métadonnées exploitables, tout en conservant le fichier d’origine, ses preuves et les limites de l’extraction.</w:t>
      </w:r>
    </w:p>
    <w:p>
      <w:pPr>
        <w:pStyle w:val="ListBullet"/>
      </w:pPr>
      <w:r>
        <w:t>rattacher automatiquement le document au client, dossier, tâche ou contrat courant lorsque le contexte est fiable ;</w:t>
      </w:r>
    </w:p>
    <w:p>
      <w:pPr>
        <w:pStyle w:val="ListBullet"/>
      </w:pPr>
      <w:r>
        <w:t>identifier le type de document, les personnes, compagnies, numéros, dates, montants, statuts et obligations ;</w:t>
      </w:r>
    </w:p>
    <w:p>
      <w:pPr>
        <w:pStyle w:val="ListBullet"/>
      </w:pPr>
      <w:r>
        <w:t>créer des tâches ou prochaines actions à partir des éléments détectés, par exemple « fournir la facture avant le 18 septembre » ;</w:t>
      </w:r>
    </w:p>
    <w:p>
      <w:pPr>
        <w:pStyle w:val="ListBullet"/>
      </w:pPr>
      <w:r>
        <w:t>mettre à jour un objet existant seulement après détection des conflits et application des règles de confiance ;</w:t>
      </w:r>
    </w:p>
    <w:p>
      <w:pPr>
        <w:pStyle w:val="ListBullet"/>
      </w:pPr>
      <w:r>
        <w:t>créer un produit ou contrat provisoire si aucun objet canonique ne correspond, avec statut incomplet et file de validation ;</w:t>
      </w:r>
    </w:p>
    <w:p>
      <w:pPr>
        <w:pStyle w:val="ListBullet"/>
      </w:pPr>
      <w:r>
        <w:t>afficher un résumé d’extraction et les liens vers chaque métadonnée créée.</w:t>
      </w:r>
    </w:p>
    <w:p>
      <w:pPr>
        <w:pStyle w:val="CoverViewSmall"/>
      </w:pPr>
      <w:r>
        <w:t>La profondeur d’automatisation dépend de la couverture du modèle de données. Un document déjà reconnu par les schémas CoverView peut être largement structuré ; un document nouveau reste accessible et partiellement indexé sans prétendre que tout a été compris.</w:t>
      </w:r>
    </w:p>
    <w:p>
      <w:pPr>
        <w:pStyle w:val="Heading2"/>
      </w:pPr>
      <w:r>
        <w:t>68.14 Voix, transcription et usage mobile</w:t>
      </w:r>
    </w:p>
    <w:p>
      <w:pPr/>
      <w:r>
        <w:t>L’Admin web doit être pleinement utilisable sur smartphone, idéalement comme application web installable ou PWA. La voix sert à la fois au chat et à la dictée des champs texte ordinaires : notes, comptes rendus, commentaires, descriptions de tâches et instructions.</w:t>
      </w:r>
    </w:p>
    <w:p>
      <w:pPr>
        <w:pStyle w:val="ListBullet"/>
      </w:pPr>
      <w:r>
        <w:t>mode Dictée : transcrire dans le champ courant sans déclencher automatiquement une action ;</w:t>
      </w:r>
    </w:p>
    <w:p>
      <w:pPr>
        <w:pStyle w:val="ListBullet"/>
      </w:pPr>
      <w:r>
        <w:t>mode Commande : transcrire puis transmettre l’instruction au copilote ;</w:t>
      </w:r>
    </w:p>
    <w:p>
      <w:pPr>
        <w:pStyle w:val="ListBullet"/>
      </w:pPr>
      <w:r>
        <w:t>aperçu éditable de la transcription avant toute exécution sensible ;</w:t>
      </w:r>
    </w:p>
    <w:p>
      <w:pPr>
        <w:pStyle w:val="ListBullet"/>
      </w:pPr>
      <w:r>
        <w:t>capture directe de photos et documents depuis le smartphone ;</w:t>
      </w:r>
    </w:p>
    <w:p>
      <w:pPr>
        <w:pStyle w:val="ListBullet"/>
      </w:pPr>
      <w:r>
        <w:t>raccourcis mobiles pour créer une tâche, enregistrer une note vocale, mettre à jour un dossier ou scanner une pièce ;</w:t>
      </w:r>
    </w:p>
    <w:p>
      <w:pPr>
        <w:pStyle w:val="ListBullet"/>
      </w:pPr>
      <w:r>
        <w:t>mêmes permissions, confirmations et traces que depuis le desktop ;</w:t>
      </w:r>
    </w:p>
    <w:p>
      <w:pPr>
        <w:pStyle w:val="ListBullet"/>
      </w:pPr>
      <w:r>
        <w:t>politique explicite de conservation ou de suppression de l’audio après transcription.</w:t>
      </w:r>
    </w:p>
    <w:p>
      <w:pPr>
        <w:pStyle w:val="Heading2"/>
      </w:pPr>
      <w:r>
        <w:t>68.15 Contexte, mémoire opérationnelle et réponses vérifiables</w:t>
      </w:r>
    </w:p>
    <w:p>
      <w:pPr/>
      <w:r>
        <w:t>Le copilote ne doit pas reposer sur une mémoire conversationnelle vague. Son contexte est assemblé à partir des identifiants canoniques, des relations, de la timeline, des documents autorisés, des paramètres système et de l’objet actuellement ouvert.</w:t>
      </w:r>
    </w:p>
    <w:p>
      <w:pPr>
        <w:pStyle w:val="ListBullet"/>
      </w:pPr>
      <w:r>
        <w:t>les réponses importantes renvoient vers les clients, leads, tâches, documents, emails, événements ou métriques utilisés ;</w:t>
      </w:r>
    </w:p>
    <w:p>
      <w:pPr>
        <w:pStyle w:val="ListBullet"/>
      </w:pPr>
      <w:r>
        <w:t>les données structurées priment sur une interprétation libre du texte ;</w:t>
      </w:r>
    </w:p>
    <w:p>
      <w:pPr>
        <w:pStyle w:val="ListBullet"/>
      </w:pPr>
      <w:r>
        <w:t>les informations anciennes, contradictoires ou non vérifiées sont signalées ;</w:t>
      </w:r>
    </w:p>
    <w:p>
      <w:pPr>
        <w:pStyle w:val="ListBullet"/>
      </w:pPr>
      <w:r>
        <w:t>l’assistant distingue ce qui vient de la base, d’un document, d’une inférence et d’une suggestion ;</w:t>
      </w:r>
    </w:p>
    <w:p>
      <w:pPr>
        <w:pStyle w:val="ListBullet"/>
      </w:pPr>
      <w:r>
        <w:t>une commande peut être reprise depuis n’importe quelle vue sans dupliquer l’objet créé ;</w:t>
      </w:r>
    </w:p>
    <w:p>
      <w:pPr>
        <w:pStyle w:val="ListBullet"/>
      </w:pPr>
      <w:r>
        <w:t>les conversations peuvent être globales, personnelles, partagées par équipe ou strictement liées à un objet selon les droits.</w:t>
      </w:r>
    </w:p>
    <w:p>
      <w:pPr>
        <w:pStyle w:val="Heading2"/>
      </w:pPr>
      <w:r>
        <w:t>68.16 Exemple - demande de support ou sinistre pilotée par le chat</w:t>
      </w:r>
    </w:p>
    <w:p>
      <w:pPr/>
      <w:r>
        <w:t>Une demande non commerciale doit être un dossier de première classe, sans être artificiellement transformée en opportunité. Exemple : un client demande une assistance sur un sinistre et doit transmettre plusieurs documents.</w:t>
      </w:r>
    </w:p>
    <w:p>
      <w:pPr/>
      <w:r>
        <w:t>1. Depuis la fiche client ou le chat global, l’utilisateur dicte : « Crée un dossier sinistre pour Mme Dupont. Elle a besoin d’aide pour la déclaration et doit encore fournir la facture. Priorité haute, rappel vendredi. »</w:t>
      </w:r>
    </w:p>
    <w:p>
      <w:pPr/>
      <w:r>
        <w:t>2. Le copilote identifie la cliente, propose le type de dossier, crée la tâche principale, la prochaine action, l’échéance et les liens nécessaires après validation des ambiguïtés.</w:t>
      </w:r>
    </w:p>
    <w:p>
      <w:pPr/>
      <w:r>
        <w:t>3. L’utilisateur joint l’email, la déclaration et une photo. Les fichiers sont classifiés, OCRisés, rattachés au dossier et convertis en métadonnées disponibles.</w:t>
      </w:r>
    </w:p>
    <w:p>
      <w:pPr/>
      <w:r>
        <w:t>4. Depuis la tâche, l’utilisateur écrit ou dicte : « L’assureur confirme qu’il manque la facture ; mets le dossier en attente client et prépare un message. » Le système propose le changement de statut, la nouvelle tâche, l’échéance et le brouillon.</w:t>
      </w:r>
    </w:p>
    <w:p>
      <w:pPr/>
      <w:r>
        <w:t>5. La réponse Gmail du client est automatiquement rattachée ; la facture complète la tâche et peut déclencher l’étape suivante.</w:t>
      </w:r>
    </w:p>
    <w:p>
      <w:pPr/>
      <w:r>
        <w:t>6. La commande « Marque le dossier comme résolu et informe la cliente » affiche le récapitulatif final et demande confirmation avant l’envoi du message et la clôture.</w:t>
      </w:r>
    </w:p>
    <w:p>
      <w:pPr/>
      <w:r>
        <w:t>7. La timeline conserve la demande initiale, les transcriptions, documents, extractions, décisions, actions, messages et changements de statut.</w:t>
      </w:r>
    </w:p>
    <w:p>
      <w:pPr>
        <w:pStyle w:val="Heading2"/>
        <w:pageBreakBefore w:val="0"/>
      </w:pPr>
      <w:r>
        <w:t>68.17 Navigation possible</w:t>
      </w:r>
    </w:p>
    <w:p>
      <w:pPr>
        <w:pStyle w:val="ListBullet"/>
        <w:spacing w:after="50"/>
        <w:ind w:left="312" w:hanging="102"/>
      </w:pPr>
      <w:r>
        <w:rPr>
          <w:rFonts w:ascii="Inter" w:hAnsi="Inter"/>
        </w:rPr>
        <w:t>Dashboard ;</w:t>
      </w:r>
    </w:p>
    <w:p>
      <w:pPr>
        <w:pStyle w:val="ListBullet"/>
        <w:spacing w:after="50"/>
        <w:ind w:left="312" w:hanging="102"/>
      </w:pPr>
      <w:r>
        <w:rPr>
          <w:rFonts w:ascii="Inter" w:hAnsi="Inter"/>
        </w:rPr>
        <w:t>Boîte de réception ;</w:t>
      </w:r>
    </w:p>
    <w:p>
      <w:pPr>
        <w:pStyle w:val="ListBullet"/>
        <w:spacing w:after="50"/>
        <w:ind w:left="312" w:hanging="102"/>
      </w:pPr>
      <w:r>
        <w:rPr>
          <w:rFonts w:ascii="Inter" w:hAnsi="Inter"/>
        </w:rPr>
        <w:t>Calendrier ;</w:t>
      </w:r>
    </w:p>
    <w:p>
      <w:pPr>
        <w:pStyle w:val="ListBullet"/>
        <w:spacing w:after="50"/>
        <w:ind w:left="312" w:hanging="102"/>
      </w:pPr>
      <w:r>
        <w:rPr>
          <w:rFonts w:ascii="Inter" w:hAnsi="Inter"/>
        </w:rPr>
        <w:t>Leads et opportunités ;</w:t>
      </w:r>
    </w:p>
    <w:p>
      <w:pPr>
        <w:pStyle w:val="ListBullet"/>
        <w:spacing w:after="50"/>
        <w:ind w:left="312" w:hanging="102"/>
      </w:pPr>
      <w:r>
        <w:rPr>
          <w:rFonts w:ascii="Inter" w:hAnsi="Inter"/>
        </w:rPr>
        <w:t>Clients ;</w:t>
      </w:r>
    </w:p>
    <w:p>
      <w:pPr>
        <w:pStyle w:val="ListBullet"/>
        <w:spacing w:after="50"/>
        <w:ind w:left="312" w:hanging="102"/>
      </w:pPr>
      <w:r>
        <w:rPr>
          <w:rFonts w:ascii="Inter" w:hAnsi="Inter"/>
        </w:rPr>
        <w:t>Projets et dossiers ;</w:t>
      </w:r>
    </w:p>
    <w:p>
      <w:pPr>
        <w:pStyle w:val="ListBullet"/>
        <w:spacing w:after="50"/>
        <w:ind w:left="312" w:hanging="102"/>
      </w:pPr>
      <w:r>
        <w:rPr>
          <w:rFonts w:ascii="Inter" w:hAnsi="Inter"/>
        </w:rPr>
        <w:t>Tâches / Kanban ;</w:t>
      </w:r>
    </w:p>
    <w:p>
      <w:pPr>
        <w:pStyle w:val="ListBullet"/>
        <w:spacing w:after="50"/>
        <w:ind w:left="312" w:hanging="102"/>
      </w:pPr>
      <w:r>
        <w:rPr>
          <w:rFonts w:ascii="Inter" w:hAnsi="Inter"/>
        </w:rPr>
        <w:t>Contrats, documents et signatures ;</w:t>
      </w:r>
    </w:p>
    <w:p>
      <w:pPr>
        <w:pStyle w:val="ListBullet"/>
        <w:spacing w:after="50"/>
        <w:ind w:left="312" w:hanging="102"/>
      </w:pPr>
      <w:r>
        <w:rPr>
          <w:rFonts w:ascii="Inter" w:hAnsi="Inter"/>
        </w:rPr>
        <w:t>Demandes LPP et récupération de contrats ;</w:t>
      </w:r>
    </w:p>
    <w:p>
      <w:pPr>
        <w:pStyle w:val="ListBullet"/>
        <w:spacing w:after="50"/>
        <w:ind w:left="312" w:hanging="102"/>
      </w:pPr>
      <w:r>
        <w:rPr>
          <w:rFonts w:ascii="Inter" w:hAnsi="Inter"/>
        </w:rPr>
        <w:t>Produits, compagnies, fonds et données Intelligence ;</w:t>
      </w:r>
    </w:p>
    <w:p>
      <w:pPr>
        <w:pStyle w:val="ListBullet"/>
        <w:spacing w:after="50"/>
        <w:ind w:left="312" w:hanging="102"/>
      </w:pPr>
      <w:r>
        <w:rPr>
          <w:rFonts w:ascii="Inter" w:hAnsi="Inter"/>
        </w:rPr>
        <w:t>Partenaires, commissions et paiements ;</w:t>
      </w:r>
    </w:p>
    <w:p>
      <w:pPr>
        <w:pStyle w:val="ListBullet"/>
        <w:spacing w:after="50"/>
        <w:ind w:left="312" w:hanging="102"/>
      </w:pPr>
      <w:r>
        <w:rPr>
          <w:rFonts w:ascii="Inter" w:hAnsi="Inter"/>
        </w:rPr>
        <w:t>Revenus, objectifs, forecasts et rapports ;</w:t>
      </w:r>
    </w:p>
    <w:p>
      <w:pPr>
        <w:pStyle w:val="ListBullet"/>
      </w:pPr>
      <w:r>
        <w:t>Copilote IA / Centre de commande ;</w:t>
      </w:r>
    </w:p>
    <w:p>
      <w:pPr>
        <w:pStyle w:val="ListBullet"/>
        <w:spacing w:after="50"/>
        <w:ind w:left="312" w:hanging="102"/>
      </w:pPr>
      <w:r>
        <w:rPr>
          <w:rFonts w:ascii="Inter" w:hAnsi="Inter"/>
        </w:rPr>
        <w:t>Automatisations, intégrations et paramètres.</w:t>
      </w:r>
    </w:p>
    <w:p>
      <w:pPr>
        <w:pStyle w:val="Heading2"/>
      </w:pPr>
      <w:r>
        <w:t>68.18 Couverture client, carte, Miles et rewards</w:t>
      </w:r>
    </w:p>
    <w:p>
      <w:pPr/>
      <w:r>
        <w:t>Admin doit offrir une vue opérationnelle commune de ces capacités. L’objectif n’est pas d’ouvrir un second back-office, mais d’utiliser les mêmes clients, tâches, documents, partenaires, timelines et règles d’autorisation.</w:t>
      </w:r>
    </w:p>
    <w:p>
      <w:pPr>
        <w:pStyle w:val="ListBullet"/>
      </w:pPr>
      <w:r>
        <w:t>file des conversations de couverture à revoir, avec sources, contrat, niveau de confiance, urgence et motif d’escalade ;</w:t>
      </w:r>
    </w:p>
    <w:p>
      <w:pPr>
        <w:pStyle w:val="ListBullet"/>
      </w:pPr>
      <w:r>
        <w:t>conversion en dossier support/sinistre, attribution, SLA, prochaine action et communication client ;</w:t>
      </w:r>
    </w:p>
    <w:p>
      <w:pPr>
        <w:pStyle w:val="ListBullet"/>
      </w:pPr>
      <w:r>
        <w:t>émission, mise à jour, suspension et révocation des cartes digitales ;</w:t>
      </w:r>
    </w:p>
    <w:p>
      <w:pPr>
        <w:pStyle w:val="ListBullet"/>
      </w:pPr>
      <w:r>
        <w:t>gestion des comptes Miles, écritures, règles versionnées, campagnes, plafonds, expirations et reversals ;</w:t>
      </w:r>
    </w:p>
    <w:p>
      <w:pPr>
        <w:pStyle w:val="ListBullet"/>
      </w:pPr>
      <w:r>
        <w:t>ajustement manuel toujours motivé, audité et éventuellement soumis à une double validation ;</w:t>
      </w:r>
    </w:p>
    <w:p>
      <w:pPr>
        <w:pStyle w:val="ListBullet"/>
      </w:pPr>
      <w:r>
        <w:t>catalogue de rewards, stocks, entitlements, vouchers, partenaires, financement et conditions ;</w:t>
      </w:r>
    </w:p>
    <w:p>
      <w:pPr>
        <w:pStyle w:val="ListBullet"/>
      </w:pPr>
      <w:r>
        <w:t>suivi de la responsabilité liée aux points en circulation, du coût des rewards, des redemptions et des règlements partenaires ;</w:t>
      </w:r>
    </w:p>
    <w:p>
      <w:pPr>
        <w:pStyle w:val="ListBullet"/>
      </w:pPr>
      <w:r>
        <w:t>détection des abus : créations multiples, auto-parrainage, réutilisation de QR, redemptions répétées ou incohérences de solde ;</w:t>
      </w:r>
    </w:p>
    <w:p>
      <w:pPr>
        <w:pStyle w:val="ListBullet"/>
      </w:pPr>
      <w:r>
        <w:t>pilotage par le copilote IA selon les mêmes règles de preview, confirmation, permissions et audit que les autres objets.</w:t>
      </w:r>
    </w:p>
    <w:p>
      <w:pPr>
        <w:pStyle w:val="Heading2"/>
        <w:keepNext/>
      </w:pPr>
      <w:r>
        <w:t>68.19 Administration et pilotage de Retire</w:t>
      </w:r>
    </w:p>
    <w:p>
      <w:pPr>
        <w:keepNext w:val="0"/>
      </w:pPr>
      <w:r>
        <w:t>Raccordement proposé : Admin gère les règles et sources de caisse, paramètres de longévité / EMS, politiques Growth Cascade, profils Monte-Carlo, versions, prix et droits. Plan, Strategy et Review peuvent ouvrir des dossiers avec tâches, responsable et prochaine action. Les alertes Care alimentent le Kanban et la timeline ; Gmail et Calendar reprennent les mêmes identifiants. Les dashboards séparent ventes Retire, abonnements Care, revues ponctuelles et commissions d’assurance.</w:t>
      </w:r>
    </w:p>
    <w:p>
      <w:pPr>
        <w:keepNext w:val="0"/>
      </w:pPr>
      <w:r>
        <w:t>Le copilote peut expliquer un résultat sauvegardé, préparer un scénario et créer une tâche de revue. Il ne transforme pas une simulation en ordre de marché, retrait LPP ou tirage Lombard. Les commandes sensibles restent soumises au registre d’actions, aux permissions et aux confirmations.</w:t>
      </w:r>
    </w:p>
    <w:p>
      <w:pPr>
        <w:pStyle w:val="Heading1"/>
        <w:keepNext/>
      </w:pPr>
      <w:r>
        <w:rPr>
          <w:rFonts w:ascii="Inter" w:hAnsi="Inter"/>
        </w:rPr>
        <w:t>69. partners.coverview.ch - Apporteurs et suivi commercial</w:t>
      </w:r>
    </w:p>
    <w:p>
      <w:pPr>
        <w:pStyle w:val="ListBullet"/>
        <w:spacing w:after="50"/>
        <w:ind w:left="312" w:hanging="102"/>
      </w:pPr>
      <w:r>
        <w:rPr>
          <w:rFonts w:ascii="Inter" w:hAnsi="Inter"/>
        </w:rPr>
        <w:t>création ou transmission de leads ;</w:t>
      </w:r>
    </w:p>
    <w:p>
      <w:pPr>
        <w:pStyle w:val="ListBullet"/>
        <w:spacing w:after="50"/>
        <w:ind w:left="312" w:hanging="102"/>
      </w:pPr>
      <w:r>
        <w:rPr>
          <w:rFonts w:ascii="Inter" w:hAnsi="Inter"/>
        </w:rPr>
        <w:t>historique et statut des leads ;</w:t>
      </w:r>
    </w:p>
    <w:p>
      <w:pPr>
        <w:pStyle w:val="ListBullet"/>
        <w:spacing w:after="50"/>
        <w:ind w:left="312" w:hanging="102"/>
      </w:pPr>
      <w:r>
        <w:rPr>
          <w:rFonts w:ascii="Inter" w:hAnsi="Inter"/>
        </w:rPr>
        <w:t>rendez-vous, avancement commercial et signature ;</w:t>
      </w:r>
    </w:p>
    <w:p>
      <w:pPr>
        <w:pStyle w:val="ListBullet"/>
        <w:spacing w:after="50"/>
        <w:ind w:left="312" w:hanging="102"/>
      </w:pPr>
      <w:r>
        <w:rPr>
          <w:rFonts w:ascii="Inter" w:hAnsi="Inter"/>
        </w:rPr>
        <w:t>contrats conclus selon les informations autorisées ;</w:t>
      </w:r>
    </w:p>
    <w:p>
      <w:pPr>
        <w:pStyle w:val="ListBullet"/>
        <w:spacing w:after="50"/>
        <w:ind w:left="312" w:hanging="102"/>
      </w:pPr>
      <w:r>
        <w:rPr>
          <w:rFonts w:ascii="Inter" w:hAnsi="Inter"/>
        </w:rPr>
        <w:t>commissions générées, montants dus et règles de calcul ;</w:t>
      </w:r>
    </w:p>
    <w:p>
      <w:pPr>
        <w:pStyle w:val="ListBullet"/>
        <w:spacing w:after="50"/>
        <w:ind w:left="312" w:hanging="102"/>
      </w:pPr>
      <w:r>
        <w:rPr>
          <w:rFonts w:ascii="Inter" w:hAnsi="Inter"/>
        </w:rPr>
        <w:t>paiements effectués et pièces administratives ;</w:t>
      </w:r>
    </w:p>
    <w:p>
      <w:pPr>
        <w:pStyle w:val="ListBullet"/>
        <w:spacing w:after="50"/>
        <w:ind w:left="312" w:hanging="102"/>
      </w:pPr>
      <w:r>
        <w:rPr>
          <w:rFonts w:ascii="Inter" w:hAnsi="Inter"/>
        </w:rPr>
        <w:t>reporting et exports.</w:t>
      </w:r>
    </w:p>
    <w:tbl>
      <w:tblPr>
        <w:tblW w:type="auto" w:w="0"/>
        <w:jc w:val="center"/>
        <w:tblLayout w:type="autofit"/>
        <w:tblLook w:firstColumn="1" w:firstRow="1" w:lastColumn="0" w:lastRow="0" w:noHBand="0" w:noVBand="1" w:val="04A0"/>
      </w:tblPr>
      <w:tblGrid>
        <w:gridCol w:w="9978"/>
      </w:tblGrid>
      <w:tr>
        <w:tc>
          <w:tcPr>
            <w:tcW w:type="dxa" w:w="9978"/>
            <w:shd w:fill="FFE3E3" w:val="clear"/>
            <w:tcBorders>
              <w:top w:sz="8" w:val="single" w:color="C95D5D"/>
              <w:left w:sz="16" w:val="single" w:color="C95D5D"/>
              <w:bottom w:sz="8" w:val="single" w:color="C95D5D"/>
              <w:right w:sz="8" w:val="single" w:color="C95D5D"/>
            </w:tcBorders>
            <w:tcMar>
              <w:top w:w="130" w:type="dxa"/>
              <w:start w:w="170" w:type="dxa"/>
              <w:bottom w:w="130" w:type="dxa"/>
              <w:end w:w="150" w:type="dxa"/>
            </w:tcMar>
          </w:tcPr>
          <w:p>
            <w:pPr>
              <w:spacing w:after="40"/>
            </w:pPr>
            <w:r>
              <w:rPr>
                <w:rFonts w:ascii="Inter" w:hAnsi="Inter"/>
                <w:b/>
                <w:color w:val="25265E"/>
                <w:sz w:val="19"/>
              </w:rPr>
              <w:t>Principe de confidentialité</w:t>
            </w:r>
          </w:p>
          <w:p>
            <w:pPr>
              <w:spacing w:after="0"/>
            </w:pPr>
            <w:r>
              <w:rPr>
                <w:rFonts w:ascii="Inter" w:hAnsi="Inter"/>
                <w:color w:val="1A1D2B"/>
                <w:sz w:val="18"/>
              </w:rPr>
              <w:t>Le partenaire ne voit que les données nécessaires à sa rémunération et au suivi convenu. Les détails contractuels, médicaux ou patrimoniaux restent masqués sauf base légitime explicite.</w:t>
            </w:r>
          </w:p>
        </w:tc>
      </w:tr>
    </w:tbl>
    <w:p>
      <w:pPr>
        <w:spacing w:after="0"/>
      </w:pPr>
    </w:p>
    <w:p>
      <w:pPr>
        <w:pStyle w:val="ListBullet"/>
      </w:pPr>
      <w:r>
        <w:t>proposition d’offres, avantages et campagnes selon les droits accordés ;</w:t>
      </w:r>
    </w:p>
    <w:p>
      <w:pPr>
        <w:pStyle w:val="ListBullet"/>
      </w:pPr>
      <w:r>
        <w:t>scan ou saisie d’un jeton de carte pour vérifier et consommer un avantage autorisé ;</w:t>
      </w:r>
    </w:p>
    <w:p>
      <w:pPr>
        <w:pStyle w:val="ListBullet"/>
      </w:pPr>
      <w:r>
        <w:t>suivi des vouchers, redemptions, annulations, litiges et règlements propres au partenaire ;</w:t>
      </w:r>
    </w:p>
    <w:p>
      <w:pPr>
        <w:pStyle w:val="ListBullet"/>
      </w:pPr>
      <w:r>
        <w:t>aucun accès au solde détaillé, aux contrats ou aux données client non nécessaires à la transaction.</w:t>
      </w:r>
    </w:p>
    <w:p>
      <w:pPr>
        <w:keepNext w:val="0"/>
      </w:pPr>
      <w:r>
        <w:t>Retire — distribution proposée : suivi des leads et de leur stade dans Check / Plan / Strategy / Care selon les droits. Le PDF prévoit ultérieurement partenaires, employeurs et distribution B2B, mais ne fixe aucun barème de commission. Aucun accès automatique aux budgets, à la dépendance, à la succession ou aux actifs du foyer.</w:t>
      </w:r>
    </w:p>
    <w:p>
      <w:pPr>
        <w:pStyle w:val="Heading1"/>
        <w:keepNext/>
      </w:pPr>
      <w:r>
        <w:rPr>
          <w:rFonts w:ascii="Inter" w:hAnsi="Inter"/>
        </w:rPr>
        <w:t>70. intelligence.coverview.ch - Analyse professionnelle</w:t>
      </w:r>
    </w:p>
    <w:p>
      <w:pPr>
        <w:pStyle w:val="ListBullet"/>
        <w:spacing w:after="50"/>
        <w:ind w:left="312" w:hanging="102"/>
      </w:pPr>
      <w:r>
        <w:rPr>
          <w:rFonts w:ascii="Inter" w:hAnsi="Inter"/>
        </w:rPr>
        <w:t>catalogue multi-compagnies ;</w:t>
      </w:r>
    </w:p>
    <w:p>
      <w:pPr>
        <w:pStyle w:val="ListBullet"/>
        <w:spacing w:after="50"/>
        <w:ind w:left="312" w:hanging="102"/>
      </w:pPr>
      <w:r>
        <w:rPr>
          <w:rFonts w:ascii="Inter" w:hAnsi="Inter"/>
        </w:rPr>
        <w:t>frais et valeurs historiques ;</w:t>
      </w:r>
    </w:p>
    <w:p>
      <w:pPr>
        <w:pStyle w:val="ListBullet"/>
        <w:spacing w:after="50"/>
        <w:ind w:left="312" w:hanging="102"/>
      </w:pPr>
      <w:r>
        <w:rPr>
          <w:rFonts w:ascii="Inter" w:hAnsi="Inter"/>
        </w:rPr>
        <w:t>fonds, univers et allocations ;</w:t>
      </w:r>
    </w:p>
    <w:p>
      <w:pPr>
        <w:pStyle w:val="ListBullet"/>
        <w:spacing w:after="50"/>
        <w:ind w:left="312" w:hanging="102"/>
      </w:pPr>
      <w:r>
        <w:rPr>
          <w:rFonts w:ascii="Inter" w:hAnsi="Inter"/>
        </w:rPr>
        <w:t>performances, backtests et benchmarks ;</w:t>
      </w:r>
    </w:p>
    <w:p>
      <w:pPr>
        <w:pStyle w:val="ListBullet"/>
        <w:spacing w:after="50"/>
        <w:ind w:left="312" w:hanging="102"/>
      </w:pPr>
      <w:r>
        <w:rPr>
          <w:rFonts w:ascii="Inter" w:hAnsi="Inter"/>
        </w:rPr>
        <w:t>projections et distributions ;</w:t>
      </w:r>
    </w:p>
    <w:p>
      <w:pPr>
        <w:pStyle w:val="ListBullet"/>
        <w:spacing w:after="50"/>
        <w:ind w:left="312" w:hanging="102"/>
      </w:pPr>
      <w:r>
        <w:rPr>
          <w:rFonts w:ascii="Inter" w:hAnsi="Inter"/>
        </w:rPr>
        <w:t>comparaison de produits et stratégies ;</w:t>
      </w:r>
    </w:p>
    <w:p>
      <w:pPr>
        <w:pStyle w:val="ListBullet"/>
        <w:spacing w:after="50"/>
        <w:ind w:left="312" w:hanging="102"/>
      </w:pPr>
      <w:r>
        <w:rPr>
          <w:rFonts w:ascii="Inter" w:hAnsi="Inter"/>
        </w:rPr>
        <w:t>rapports professionnels ;</w:t>
      </w:r>
    </w:p>
    <w:p>
      <w:pPr>
        <w:pStyle w:val="ListBullet"/>
        <w:spacing w:after="50"/>
        <w:ind w:left="312" w:hanging="102"/>
      </w:pPr>
      <w:r>
        <w:rPr>
          <w:rFonts w:ascii="Inter" w:hAnsi="Inter"/>
        </w:rPr>
        <w:t>moteurs communs consommés aussi par Wallet et le site.</w:t>
      </w:r>
    </w:p>
    <w:p>
      <w:pPr/>
      <w:r>
        <w:rPr>
          <w:rFonts w:ascii="Inter" w:hAnsi="Inter"/>
          <w:i w:val="0"/>
        </w:rPr>
        <w:t>Intelligence peut proposer des corrections ou enrichissements, mais les droits de publication doivent rester explicites. Admin demeure l’interface de gouvernance et de validation centrale.</w:t>
      </w:r>
    </w:p>
    <w:p>
      <w:pPr>
        <w:keepNext w:val="0"/>
      </w:pPr>
      <w:r>
        <w:t>Retire — exploitation professionnelle proposée : simulation de rente/capital/mix, analyse look-through du Growth, normalisation des dividendes, vérification des règles de caisse, stress et comparaison de politiques. Les moteurs et sources sont communs à Wallet ; la publication reste gouvernée dans Admin. Voir R6 à R10 et R15.</w:t>
      </w:r>
    </w:p>
    <w:p>
      <w:pPr>
        <w:pStyle w:val="Heading1"/>
        <w:keepNext/>
      </w:pPr>
      <w:r>
        <w:rPr>
          <w:rFonts w:ascii="Inter" w:hAnsi="Inter"/>
        </w:rPr>
        <w:t>71. exchange.coverview.ch - Vision future</w:t>
      </w:r>
    </w:p>
    <w:p>
      <w:pPr>
        <w:pStyle w:val="ListBullet"/>
        <w:spacing w:after="50"/>
        <w:ind w:left="312" w:hanging="102"/>
      </w:pPr>
      <w:r>
        <w:rPr>
          <w:rFonts w:ascii="Inter" w:hAnsi="Inter"/>
        </w:rPr>
        <w:t>création d’un risque paramétrique ;</w:t>
      </w:r>
    </w:p>
    <w:p>
      <w:pPr>
        <w:pStyle w:val="ListBullet"/>
        <w:spacing w:after="50"/>
        <w:ind w:left="312" w:hanging="102"/>
      </w:pPr>
      <w:r>
        <w:rPr>
          <w:rFonts w:ascii="Inter" w:hAnsi="Inter"/>
        </w:rPr>
        <w:t>métrique, lieu, période, seuil et source officielle ;</w:t>
      </w:r>
    </w:p>
    <w:p>
      <w:pPr>
        <w:pStyle w:val="ListBullet"/>
        <w:spacing w:after="50"/>
        <w:ind w:left="312" w:hanging="102"/>
      </w:pPr>
      <w:r>
        <w:rPr>
          <w:rFonts w:ascii="Inter" w:hAnsi="Inter"/>
        </w:rPr>
        <w:t>montant à couvrir ;</w:t>
      </w:r>
    </w:p>
    <w:p>
      <w:pPr>
        <w:pStyle w:val="ListBullet"/>
        <w:spacing w:after="50"/>
        <w:ind w:left="312" w:hanging="102"/>
      </w:pPr>
      <w:r>
        <w:rPr>
          <w:rFonts w:ascii="Inter" w:hAnsi="Inter"/>
        </w:rPr>
        <w:t>participants et fractions d’engagement ;</w:t>
      </w:r>
    </w:p>
    <w:p>
      <w:pPr>
        <w:pStyle w:val="ListBullet"/>
        <w:spacing w:after="50"/>
        <w:ind w:left="312" w:hanging="102"/>
      </w:pPr>
      <w:r>
        <w:rPr>
          <w:rFonts w:ascii="Inter" w:hAnsi="Inter"/>
        </w:rPr>
        <w:t>rémunération si non-déclenchement ;</w:t>
      </w:r>
    </w:p>
    <w:p>
      <w:pPr>
        <w:pStyle w:val="ListBullet"/>
        <w:spacing w:after="50"/>
        <w:ind w:left="312" w:hanging="102"/>
      </w:pPr>
      <w:r>
        <w:rPr>
          <w:rFonts w:ascii="Inter" w:hAnsi="Inter"/>
        </w:rPr>
        <w:t>paiement si déclenchement ;</w:t>
      </w:r>
    </w:p>
    <w:p>
      <w:pPr>
        <w:pStyle w:val="ListBullet"/>
        <w:spacing w:after="50"/>
        <w:ind w:left="312" w:hanging="102"/>
      </w:pPr>
      <w:r>
        <w:rPr>
          <w:rFonts w:ascii="Inter" w:hAnsi="Inter"/>
        </w:rPr>
        <w:t>ledger, positions, limites, règlement et historique ;</w:t>
      </w:r>
    </w:p>
    <w:p>
      <w:pPr>
        <w:pStyle w:val="ListBullet"/>
        <w:spacing w:after="50"/>
        <w:ind w:left="312" w:hanging="102"/>
      </w:pPr>
      <w:r>
        <w:rPr>
          <w:rFonts w:ascii="Inter" w:hAnsi="Inter"/>
        </w:rPr>
        <w:t>KYC, conformité, gestion des fonds et gouvernance dédiés.</w:t>
      </w:r>
    </w:p>
    <w:p>
      <w:pPr/>
      <w:r>
        <w:rPr>
          <w:rFonts w:ascii="Inter" w:hAnsi="Inter"/>
          <w:i w:val="0"/>
        </w:rPr>
        <w:t>Ce module reste hors du MVP principal et ne doit pas être présenté comme disponible avant validation complète de sa qualification et de son cadre opérationnel.</w:t>
      </w:r>
    </w:p>
    <w:p>
      <w:pPr>
        <w:pStyle w:val="Heading1"/>
        <w:keepNext/>
      </w:pPr>
      <w:r>
        <w:rPr>
          <w:rFonts w:ascii="Inter" w:hAnsi="Inter"/>
        </w:rPr>
        <w:t>72. Matrice de consommation des données</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92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Domaine</w:t>
            </w:r>
          </w:p>
        </w:tc>
        <w:tc>
          <w:tcPr>
            <w:tcW w:type="dxa" w:w="158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Site</w:t>
            </w:r>
          </w:p>
        </w:tc>
        <w:tc>
          <w:tcPr>
            <w:tcW w:type="dxa" w:w="175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Wallet</w:t>
            </w:r>
          </w:p>
        </w:tc>
        <w:tc>
          <w:tcPr>
            <w:tcW w:type="dxa" w:w="175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Admin</w:t>
            </w:r>
          </w:p>
        </w:tc>
        <w:tc>
          <w:tcPr>
            <w:tcW w:type="dxa" w:w="147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Partners</w:t>
            </w:r>
          </w:p>
        </w:tc>
        <w:tc>
          <w:tcPr>
            <w:tcW w:type="dxa" w:w="175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Intelligence</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Catalogue produits</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Public publié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Données utiles au contrat</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Création et édition</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Très limité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Complet pro</w:t>
            </w:r>
          </w:p>
        </w:tc>
      </w:tr>
      <w:tr>
        <w:trPr>
          <w:cantSplit/>
        </w:trPr>
        <w:tc>
          <w:tcPr>
            <w:tcW w:type="dxa" w:w="192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Contrats clients</w:t>
            </w:r>
          </w:p>
        </w:tc>
        <w:tc>
          <w:tcPr>
            <w:tcW w:type="dxa" w:w="158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Session/démarche limitée</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Propriétaire</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Complet autorisé</w:t>
            </w:r>
          </w:p>
        </w:tc>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Statut limité</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Anonymisé ou autorisé</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Simulations</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Créer / afficher</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Historique personnel</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Supervision</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Non</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Créer / comparer</w:t>
            </w:r>
          </w:p>
        </w:tc>
      </w:tr>
      <w:tr>
        <w:trPr>
          <w:cantSplit/>
        </w:trPr>
        <w:tc>
          <w:tcPr>
            <w:tcW w:type="dxa" w:w="192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Documents</w:t>
            </w:r>
          </w:p>
        </w:tc>
        <w:tc>
          <w:tcPr>
            <w:tcW w:type="dxa" w:w="158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Upload / signer</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Consulter</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Administrer</w:t>
            </w:r>
          </w:p>
        </w:tc>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Pièces propres</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Sources produit</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Leads / opportunités</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Créer depuis formulaires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Statut personnel limité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Complet : pipeline, probabilité, prochaine action</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Leads attribués et statuts autorisés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Non, sauf usages professionnels dédiés</w:t>
            </w:r>
          </w:p>
        </w:tc>
      </w:tr>
      <w:tr>
        <w:trPr>
          <w:cantSplit/>
        </w:trPr>
        <w:tc>
          <w:tcPr>
            <w:tcW w:type="dxa" w:w="192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Benchmarks</w:t>
            </w:r>
          </w:p>
        </w:tc>
        <w:tc>
          <w:tcPr>
            <w:tcW w:type="dxa" w:w="158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Extraits publics</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Résultat contextualisé</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Paramétrage</w:t>
            </w:r>
          </w:p>
        </w:tc>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Non</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Complet</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Commissions</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Non</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Non</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Complet</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Partenaire propre</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Non</w:t>
            </w:r>
          </w:p>
        </w:tc>
      </w:tr>
      <w:tr>
        <w:trPr>
          <w:cantSplit/>
        </w:trPr>
        <w:tc>
          <w:tcPr>
            <w:tcW w:type="dxa" w:w="192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Paramètres moteurs</w:t>
            </w:r>
          </w:p>
        </w:tc>
        <w:tc>
          <w:tcPr>
            <w:tcW w:type="dxa" w:w="158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Lecture via calcul</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Lecture via calcul</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Édition</w:t>
            </w:r>
          </w:p>
        </w:tc>
        <w:tc>
          <w:tcPr>
            <w:tcW w:type="dxa" w:w="147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Lecture si nécessaire</w:t>
            </w:r>
          </w:p>
        </w:tc>
        <w:tc>
          <w:tcPr>
            <w:tcW w:type="dxa" w:w="175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3"/>
              </w:rPr>
              <w:t>Lecture / simulation</w:t>
            </w:r>
          </w:p>
        </w:tc>
      </w:tr>
      <w:tr>
        <w:tc>
          <w:tcPr>
            <w:tcW w:type="dxa" w:w="1663"/>
          </w:tcPr>
          <w:p>
            <w:r>
              <w:t>Projets / tâches</w:t>
            </w:r>
          </w:p>
        </w:tc>
        <w:tc>
          <w:tcPr>
            <w:tcW w:type="dxa" w:w="1663"/>
          </w:tcPr>
          <w:p>
            <w:r>
              <w:t>Initier une demande</w:t>
            </w:r>
          </w:p>
        </w:tc>
        <w:tc>
          <w:tcPr>
            <w:tcW w:type="dxa" w:w="1663"/>
          </w:tcPr>
          <w:p>
            <w:r>
              <w:t>Suivre ses actions</w:t>
            </w:r>
          </w:p>
        </w:tc>
        <w:tc>
          <w:tcPr>
            <w:tcW w:type="dxa" w:w="1663"/>
          </w:tcPr>
          <w:p>
            <w:r>
              <w:t>Création, Kanban, priorités et exceptions</w:t>
            </w:r>
          </w:p>
        </w:tc>
        <w:tc>
          <w:tcPr>
            <w:tcW w:type="dxa" w:w="1663"/>
          </w:tcPr>
          <w:p>
            <w:r>
              <w:t>Suivi limité des leads transmis</w:t>
            </w:r>
          </w:p>
        </w:tc>
        <w:tc>
          <w:tcPr>
            <w:tcW w:type="dxa" w:w="1663"/>
          </w:tcPr>
          <w:p>
            <w:r>
              <w:t>Tâches d’analyse autorisées</w:t>
            </w:r>
          </w:p>
        </w:tc>
      </w:tr>
      <w:tr>
        <w:tc>
          <w:tcPr>
            <w:tcW w:type="dxa" w:w="1663"/>
          </w:tcPr>
          <w:p>
            <w:r>
              <w:t>Emails / calendrier</w:t>
            </w:r>
          </w:p>
        </w:tc>
        <w:tc>
          <w:tcPr>
            <w:tcW w:type="dxa" w:w="1663"/>
          </w:tcPr>
          <w:p>
            <w:r>
              <w:t>Confirmation et prise de rendez-vous</w:t>
            </w:r>
          </w:p>
        </w:tc>
        <w:tc>
          <w:tcPr>
            <w:tcW w:type="dxa" w:w="1663"/>
          </w:tcPr>
          <w:p>
            <w:r>
              <w:t>Notifications et rendez-vous propres</w:t>
            </w:r>
          </w:p>
        </w:tc>
        <w:tc>
          <w:tcPr>
            <w:tcW w:type="dxa" w:w="1663"/>
          </w:tcPr>
          <w:p>
            <w:r>
              <w:t>Synchronisation Gmail/Calendar et timeline complète</w:t>
            </w:r>
          </w:p>
        </w:tc>
        <w:tc>
          <w:tcPr>
            <w:tcW w:type="dxa" w:w="1663"/>
          </w:tcPr>
          <w:p>
            <w:r>
              <w:t>Notifications et rendez-vous autorisés</w:t>
            </w:r>
          </w:p>
        </w:tc>
        <w:tc>
          <w:tcPr>
            <w:tcW w:type="dxa" w:w="1663"/>
          </w:tcPr>
          <w:p>
            <w:r>
              <w:t>Très limité</w:t>
            </w:r>
          </w:p>
        </w:tc>
      </w:tr>
      <w:tr>
        <w:tc>
          <w:tcPr>
            <w:tcW w:type="dxa" w:w="1663"/>
          </w:tcPr>
          <w:p>
            <w:r>
              <w:t>Timeline client</w:t>
            </w:r>
          </w:p>
        </w:tc>
        <w:tc>
          <w:tcPr>
            <w:tcW w:type="dxa" w:w="1663"/>
          </w:tcPr>
          <w:p>
            <w:r>
              <w:t>Événements publics limités</w:t>
            </w:r>
          </w:p>
        </w:tc>
        <w:tc>
          <w:tcPr>
            <w:tcW w:type="dxa" w:w="1663"/>
          </w:tcPr>
          <w:p>
            <w:r>
              <w:t>Historique personnel</w:t>
            </w:r>
          </w:p>
        </w:tc>
        <w:tc>
          <w:tcPr>
            <w:tcW w:type="dxa" w:w="1663"/>
          </w:tcPr>
          <w:p>
            <w:r>
              <w:t>Vue 360 complète</w:t>
            </w:r>
          </w:p>
        </w:tc>
        <w:tc>
          <w:tcPr>
            <w:tcW w:type="dxa" w:w="1663"/>
          </w:tcPr>
          <w:p>
            <w:r>
              <w:t>Événements commerciaux autorisés</w:t>
            </w:r>
          </w:p>
        </w:tc>
        <w:tc>
          <w:tcPr>
            <w:tcW w:type="dxa" w:w="1663"/>
          </w:tcPr>
          <w:p>
            <w:r>
              <w:t>Anonymisé ou autorisé</w:t>
            </w:r>
          </w:p>
        </w:tc>
      </w:tr>
      <w:tr>
        <w:tc>
          <w:tcPr>
            <w:tcW w:type="dxa" w:w="1663"/>
          </w:tcPr>
          <w:p>
            <w:r>
              <w:t>Revenus / forecasts</w:t>
            </w:r>
          </w:p>
        </w:tc>
        <w:tc>
          <w:tcPr>
            <w:tcW w:type="dxa" w:w="1663"/>
          </w:tcPr>
          <w:p>
            <w:r>
              <w:t>Non</w:t>
            </w:r>
          </w:p>
        </w:tc>
        <w:tc>
          <w:tcPr>
            <w:tcW w:type="dxa" w:w="1663"/>
          </w:tcPr>
          <w:p>
            <w:r>
              <w:t>Non</w:t>
            </w:r>
          </w:p>
        </w:tc>
        <w:tc>
          <w:tcPr>
            <w:tcW w:type="dxa" w:w="1663"/>
          </w:tcPr>
          <w:p>
            <w:r>
              <w:t>Complet : objectifs, pipeline, réalisé</w:t>
            </w:r>
          </w:p>
        </w:tc>
        <w:tc>
          <w:tcPr>
            <w:tcW w:type="dxa" w:w="1663"/>
          </w:tcPr>
          <w:p>
            <w:r>
              <w:t>Commissions propres</w:t>
            </w:r>
          </w:p>
        </w:tc>
        <w:tc>
          <w:tcPr>
            <w:tcW w:type="dxa" w:w="1663"/>
          </w:tcPr>
          <w:p>
            <w:r>
              <w:t>Non</w:t>
            </w:r>
          </w:p>
        </w:tc>
      </w:tr>
      <w:tr>
        <w:tc>
          <w:tcPr>
            <w:tcW w:type="dxa" w:w="1663"/>
          </w:tcPr>
          <w:p>
            <w:pPr/>
            <w:r>
              <w:t>Copilote IA / voix</w:t>
            </w:r>
          </w:p>
        </w:tc>
        <w:tc>
          <w:tcPr>
            <w:tcW w:type="dxa" w:w="1663"/>
          </w:tcPr>
          <w:p>
            <w:pPr/>
            <w:r>
              <w:t>Non ou assistants publics dédiés</w:t>
            </w:r>
          </w:p>
        </w:tc>
        <w:tc>
          <w:tcPr>
            <w:tcW w:type="dxa" w:w="1663"/>
          </w:tcPr>
          <w:p>
            <w:pPr/>
            <w:r>
              <w:t>Assistance client limitée selon produit</w:t>
            </w:r>
          </w:p>
        </w:tc>
        <w:tc>
          <w:tcPr>
            <w:tcW w:type="dxa" w:w="1663"/>
          </w:tcPr>
          <w:p>
            <w:pPr/>
            <w:r>
              <w:t>Global et contextuel : lecture, brouillons, actions, pièces jointes, dictée et pilotage</w:t>
            </w:r>
          </w:p>
        </w:tc>
        <w:tc>
          <w:tcPr>
            <w:tcW w:type="dxa" w:w="1663"/>
          </w:tcPr>
          <w:p>
            <w:pPr/>
            <w:r>
              <w:t>Assistant limité aux objets autorisés</w:t>
            </w:r>
          </w:p>
        </w:tc>
        <w:tc>
          <w:tcPr>
            <w:tcW w:type="dxa" w:w="1663"/>
          </w:tcPr>
          <w:p>
            <w:pPr/>
            <w:r>
              <w:t>Assistant professionnel limité aux analyses autorisées</w:t>
            </w:r>
          </w:p>
        </w:tc>
      </w:tr>
      <w:t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Assistant de couverture</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Présentation / entrée</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Chat personnalisé, sources et escalade</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Revue, support, règles et audit</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Non, sauf support autorisé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Données contractuelles et preuves selon droits</w:t>
            </w:r>
          </w:p>
        </w:tc>
      </w:tr>
      <w:t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Carte digitale</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Activation après connexion</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Ajouter, consulter, révoquer</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Émettre, mettre à jour, suspendre</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Scanner / valider un jeton autorisé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Non</w:t>
            </w:r>
          </w:p>
        </w:tc>
      </w:tr>
      <w:t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Miles / fidélité</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Explication et acquisition</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Solde, historique, gains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Règles, ledger, campagnes, contrôles</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Gains ou événements propres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Entitlements analytiques éventuels</w:t>
            </w:r>
          </w:p>
        </w:tc>
      </w:tr>
      <w:t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Rewards / avantages</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Catalogue public éventuel</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Shop, vouchers, redemptions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Catalogue, stock, éligibilité, litiges</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Offres, validation et règlement propres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2"/>
              </w:rPr>
              <w:t>Rapports ou services éligibles</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 / plan du foyer</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Check ; session autorisée</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Plan, scénarios et suivi propres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Paramètres, dossiers et validation</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Statut commercial limité</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Analyse autorisée</w:t>
            </w:r>
          </w:p>
        </w:tc>
      </w:tr>
      <w:tr>
        <w:trPr>
          <w:cantSplit/>
        </w:trPr>
        <w:tc>
          <w:tcPr>
            <w:tcW w:type="dxa" w:w="192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Offres Retire / Care</w:t>
            </w:r>
          </w:p>
        </w:tc>
        <w:tc>
          <w:tcPr>
            <w:tcW w:type="dxa" w:w="158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Prix et offres publiés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Droits, achats, abonnement</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Prix, paiements, droits, revenus</w:t>
            </w:r>
          </w:p>
        </w:tc>
        <w:tc>
          <w:tcPr>
            <w:tcW w:type="dxa" w:w="147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Suivi et accords propres</w:t>
            </w:r>
          </w:p>
        </w:tc>
        <w:tc>
          <w:tcPr>
            <w:tcW w:type="dxa" w:w="175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Droits professionnels</w:t>
            </w:r>
          </w:p>
        </w:tc>
      </w:tr>
    </w:tbl>
    <w:p>
      <w:pPr>
        <w:spacing w:after="0"/>
      </w:pP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VIII</w:t>
            </w:r>
          </w:p>
          <w:p>
            <w:pPr>
              <w:spacing w:after="0"/>
            </w:pPr>
            <w:r>
              <w:rPr>
                <w:rFonts w:ascii="Inter" w:hAnsi="Inter"/>
                <w:color w:val="E7E8FF"/>
                <w:sz w:val="20"/>
              </w:rPr>
              <w:t>Moteurs, API, événements et exigences techniques</w:t>
            </w:r>
          </w:p>
        </w:tc>
      </w:tr>
    </w:tbl>
    <w:p>
      <w:pPr>
        <w:spacing w:after="0"/>
      </w:pPr>
    </w:p>
    <w:p>
      <w:pPr>
        <w:pStyle w:val="Heading1"/>
        <w:keepNext/>
      </w:pPr>
      <w:r>
        <w:rPr>
          <w:rFonts w:ascii="Inter" w:hAnsi="Inter"/>
        </w:rPr>
        <w:t>73. Moteurs communs</w:t>
      </w:r>
    </w:p>
    <w:p>
      <w:pPr>
        <w:spacing w:after="60"/>
        <w:jc w:val="center"/>
      </w:pPr>
      <w:r>
        <w:rPr>
          <w:rFonts w:ascii="Inter" w:hAnsi="Inter"/>
        </w:rPr>
        <w:drawing>
          <wp:inline xmlns:a="http://schemas.openxmlformats.org/drawingml/2006/main" xmlns:pic="http://schemas.openxmlformats.org/drawingml/2006/picture">
            <wp:extent cx="6263999" cy="886362"/>
            <wp:docPr id="5" name="Picture 5" descr="Les moteurs sont des capacités de plateforme, pas des implémentations propres à chaque frontend." title="Les moteurs sont des capacités de plateforme, pas des implémentations propres à chaque frontend."/>
            <wp:cNvGraphicFramePr>
              <a:graphicFrameLocks noChangeAspect="1"/>
            </wp:cNvGraphicFramePr>
            <a:graphic>
              <a:graphicData uri="http://schemas.openxmlformats.org/drawingml/2006/picture">
                <pic:pic>
                  <pic:nvPicPr>
                    <pic:cNvPr id="0" name="engines.png"/>
                    <pic:cNvPicPr/>
                  </pic:nvPicPr>
                  <pic:blipFill>
                    <a:blip r:embed="rId15"/>
                    <a:stretch>
                      <a:fillRect/>
                    </a:stretch>
                  </pic:blipFill>
                  <pic:spPr>
                    <a:xfrm>
                      <a:off x="0" y="0"/>
                      <a:ext cx="6263999" cy="886362"/>
                    </a:xfrm>
                    <a:prstGeom prst="rect"/>
                  </pic:spPr>
                </pic:pic>
              </a:graphicData>
            </a:graphic>
          </wp:inline>
        </w:drawing>
      </w:r>
    </w:p>
    <w:p>
      <w:pPr>
        <w:pStyle w:val="CoverViewSmall"/>
        <w:jc w:val="center"/>
      </w:pPr>
      <w:r>
        <w:rPr>
          <w:rFonts w:ascii="Inter" w:hAnsi="Inter"/>
          <w:i/>
          <w:color w:val="5F667A"/>
          <w:sz w:val="16"/>
        </w:rPr>
        <w:t>Les moteurs sont des capacités de plateforme, pas des implémentations propres à chaque frontend.</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061"/>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Moteur</w:t>
            </w:r>
          </w:p>
        </w:tc>
        <w:tc>
          <w:tcPr>
            <w:tcW w:type="dxa" w:w="6577"/>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Responsabilités</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Contract Analysis Engine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Contrats, allocations, fonds, frais, garanties, extraction et complétude</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Retirement Engine</w:t>
            </w:r>
          </w:p>
        </w:tc>
        <w:tc>
          <w:tcPr>
            <w:tcW w:type="dxa" w:w="657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Besoin, inflation, capital cible, trajectoires et âge d’atteinte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Simulation Engine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Distributions, percentiles, bootstrap, Monte Carlo et stress tests</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Strategy Engine</w:t>
            </w:r>
          </w:p>
        </w:tc>
        <w:tc>
          <w:tcPr>
            <w:tcW w:type="dxa" w:w="657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Alternatives, compatibilité, optimisation et compromis</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Scoring Engine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CoverView Score, sous-scores, Investment Age et profils</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Benchmark Engine</w:t>
            </w:r>
          </w:p>
        </w:tc>
        <w:tc>
          <w:tcPr>
            <w:tcW w:type="dxa" w:w="657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Cohortes, percentiles, rangs et comparabilité</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Document Intelligence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Classification, OCR, extraction, confiance et rapprochement</w:t>
            </w:r>
          </w:p>
        </w:tc>
      </w:tr>
      <w:tr>
        <w:trPr>
          <w:cantSplit/>
        </w:trPr>
        <w:tc>
          <w:tcPr>
            <w:tcW w:type="dxa" w:w="3061"/>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Workflow Engine</w:t>
            </w:r>
          </w:p>
        </w:tc>
        <w:tc>
          <w:tcPr>
            <w:tcW w:type="dxa" w:w="6577"/>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6"/>
              </w:rPr>
              <w:t>États, tâches, relances, timers et exceptions</w:t>
            </w:r>
          </w:p>
        </w:tc>
      </w:tr>
      <w:tr>
        <w:tc>
          <w:tcPr>
            <w:tcW w:type="dxa" w:w="4989"/>
          </w:tcPr>
          <w:p>
            <w:r>
              <w:t>CRM &amp; Opportunity Service</w:t>
            </w:r>
          </w:p>
        </w:tc>
        <w:tc>
          <w:tcPr>
            <w:tcW w:type="dxa" w:w="4989"/>
          </w:tcPr>
          <w:p>
            <w:r>
              <w:t>Leads, déduplication, opportunités, étapes, prochaines actions, scoring commercial et historique</w:t>
            </w:r>
          </w:p>
        </w:tc>
      </w:tr>
      <w:tr>
        <w:tc>
          <w:tcPr>
            <w:tcW w:type="dxa" w:w="4989"/>
          </w:tcPr>
          <w:p>
            <w:r>
              <w:t>Forecast &amp; Goal Service</w:t>
            </w:r>
          </w:p>
        </w:tc>
        <w:tc>
          <w:tcPr>
            <w:tcW w:type="dxa" w:w="4989"/>
          </w:tcPr>
          <w:p>
            <w:r>
              <w:t>Pipeline pondéré, revenus estimés, objectifs, réalisé, précision des prévisions et agrégats</w:t>
            </w:r>
          </w:p>
        </w:tc>
      </w:tr>
      <w:tr>
        <w:tc>
          <w:tcPr>
            <w:tcW w:type="dxa" w:w="4989"/>
          </w:tcPr>
          <w:p>
            <w:r>
              <w:t>Activity &amp; Integration Service</w:t>
            </w:r>
          </w:p>
        </w:tc>
        <w:tc>
          <w:tcPr>
            <w:tcW w:type="dxa" w:w="4989"/>
          </w:tcPr>
          <w:p>
            <w:r>
              <w:t>Timeline, Gmail, Google Calendar, rattachement, synchronisation, déduplication et reprise sur erreur</w:t>
            </w:r>
          </w:p>
        </w:tc>
      </w:tr>
      <w:tr>
        <w:tc>
          <w:tcPr>
            <w:tcW w:type="dxa" w:w="4989"/>
          </w:tcPr>
          <w:p>
            <w:pPr/>
            <w:r>
              <w:t>AI Orchestration &amp; Tool Gateway</w:t>
            </w:r>
          </w:p>
        </w:tc>
        <w:tc>
          <w:tcPr>
            <w:tcW w:type="dxa" w:w="4989"/>
          </w:tcPr>
          <w:p>
            <w:pPr/>
            <w:r>
              <w:t>Compréhension d’intention, assemblage du contexte, sélection d’actions typées, aperçu, exécution, idempotence et restitution</w:t>
            </w:r>
          </w:p>
        </w:tc>
      </w:tr>
      <w:tr>
        <w:tc>
          <w:tcPr>
            <w:tcW w:type="dxa" w:w="4989"/>
          </w:tcPr>
          <w:p>
            <w:pPr/>
            <w:r>
              <w:t>Action Policy &amp; Approval Service</w:t>
            </w:r>
          </w:p>
        </w:tc>
        <w:tc>
          <w:tcPr>
            <w:tcW w:type="dxa" w:w="4989"/>
          </w:tcPr>
          <w:p>
            <w:pPr/>
            <w:r>
              <w:t>Permissions, matrice de risque, confirmations, interdictions, annulation ou compensation et journal des décisions</w:t>
            </w:r>
          </w:p>
        </w:tc>
      </w:tr>
      <w:tr>
        <w:tc>
          <w:tcPr>
            <w:tcW w:type="dxa" w:w="4989"/>
          </w:tcPr>
          <w:p>
            <w:pPr/>
            <w:r>
              <w:t>Conversation &amp; Internal Retrieval Service</w:t>
            </w:r>
          </w:p>
        </w:tc>
        <w:tc>
          <w:tcPr>
            <w:tcW w:type="dxa" w:w="4989"/>
          </w:tcPr>
          <w:p>
            <w:pPr/>
            <w:r>
              <w:t>Conversations globales ou liées à un objet, recherche autorisée, références internes, mémoire opérationnelle et citations vers les objets</w:t>
            </w:r>
          </w:p>
        </w:tc>
      </w:tr>
      <w:tr>
        <w:tc>
          <w:tcPr>
            <w:tcW w:type="dxa" w:w="4989"/>
          </w:tcPr>
          <w:p>
            <w:pPr/>
            <w:r>
              <w:t>Speech &amp; Transcription Service</w:t>
            </w:r>
          </w:p>
        </w:tc>
        <w:tc>
          <w:tcPr>
            <w:tcW w:type="dxa" w:w="4989"/>
          </w:tcPr>
          <w:p>
            <w:pPr/>
            <w:r>
              <w:t>Dictée, commandes vocales, transcription, vocabulaire métier, aperçu éditable et politique de conservation audio</w:t>
            </w:r>
          </w:p>
        </w:tc>
      </w:tr>
      <w:t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Coverage Question &amp; Evidence Engine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Scénario, matching des contrats, hiérarchie des sources, passages cités, règles, incertitude, réponse structurée et escalade</w:t>
            </w:r>
          </w:p>
        </w:tc>
      </w:tr>
      <w:t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Support / Claim Assistance Service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Dossiers d’assistance et sinistre, tâches, pièces, communications, statut, SLA, prochaine action et handoff humain</w:t>
            </w:r>
          </w:p>
        </w:tc>
      </w:tr>
      <w:t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Digital Pass Service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Émission, personnalisation, jetons opaques, liens, mises à jour, appareils, suspension, rotation et révocation</w:t>
            </w:r>
          </w:p>
        </w:tc>
      </w:tr>
      <w:t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Miles Ledger &amp; Rules Engine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Écritures immuables, solde, pending, validation, expiration, reversal, campagnes, tiers, plafonds et anti-abus</w:t>
            </w:r>
          </w:p>
        </w:tc>
      </w:tr>
      <w:t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Rewards &amp; Redemption Service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5"/>
              </w:rPr>
              <w:t>Catalogue, éligibilité, stock, réservation, débit atomique, entitlement, voucher, consommation, annulation et règlement partenaire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 Decision &amp; Life</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Extension du Retirement Engine : options de rente, capital et mix, budgets du foyer, longévité, EMS, transmission et Retirement Range.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Growth Cascade / Capital Policy</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Politique versionnée Growth, Income, Safety, Lombard, bonus, flux et limites ; calcul et aide à la décision, sans exécution financière implicite.</w:t>
            </w:r>
          </w:p>
        </w:tc>
      </w:tr>
      <w:tr>
        <w:trPr>
          <w:cantSplit/>
        </w:trPr>
        <w:tc>
          <w:tcPr>
            <w:tcW w:type="dxa" w:w="3061"/>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 Monitoring &amp; Service Access</w:t>
            </w:r>
          </w:p>
        </w:tc>
        <w:tc>
          <w:tcPr>
            <w:tcW w:type="dxa" w:w="6577"/>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Recalculs Care, alertes, décisions et revues ; accès Plan / Strategy / Care via commerce et entitlements communs.</w:t>
            </w:r>
          </w:p>
        </w:tc>
      </w:tr>
    </w:tbl>
    <w:p>
      <w:pPr>
        <w:spacing w:after="0"/>
      </w:pPr>
    </w:p>
    <w:p>
      <w:pPr>
        <w:pStyle w:val="Heading1"/>
        <w:keepNext/>
      </w:pPr>
      <w:r>
        <w:rPr>
          <w:rFonts w:ascii="Inter" w:hAnsi="Inter"/>
        </w:rPr>
        <w:t>74. API commune</w:t>
      </w:r>
    </w:p>
    <w:p>
      <w:pPr/>
      <w:r>
        <w:rPr>
          <w:rFonts w:ascii="Inter" w:hAnsi="Inter"/>
          <w:i w:val="0"/>
        </w:rPr>
        <w:t>Les routes exactes peuvent évoluer, mais la séparation conceptuelle doit rester claire. Exemples :</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r>
              <w:rPr/>
              <w:t>GET  /v1/me/profile</w:t>
              <w:br/>
              <w:t>POST /v1/documents | POST /v1/analyses/3p</w:t>
              <w:br/>
              <w:t>POST /v1/simulations/retirement | POST /v1/saved-comparisons</w:t>
              <w:br/>
              <w:t>POST /v1/lpp-search-requests | POST /v1/contract-retrieval-requests</w:t>
              <w:br/>
              <w:t>POST /v1/signing-sessions | GET /v1/catalog/products/{productId}</w:t>
              <w:br/>
              <w:t>POST /v1/admin/leads | PATCH /v1/admin/opportunities/{id}</w:t>
              <w:br/>
              <w:t>POST /v1/admin/tasks | GET /v1/admin/clients/{id}/timeline</w:t>
              <w:br/>
              <w:t>GET  /v1/admin/dashboard</w:t>
              <w:br/>
              <w:t>POST /v1/admin/email/threads/{id}/link | POST /v1/admin/calendar/events</w:t>
              <w:br/>
              <w:t>POST /v1/admin/products/{id}/publish</w:t>
              <w:br/>
              <w:t>POST /v1/admin/ai/conversations | POST /v1/admin/ai/messages</w:t>
              <w:br/>
              <w:t>POST /v1/admin/ai/actions/preview | POST /v1/admin/ai/actions/{id}/confirm</w:t>
              <w:br/>
              <w:t>POST /v1/admin/ai/attachments | POST /v1/admin/transcriptions</w:t>
              <w:br/>
              <w:t>GET  /v1/admin/ai/actions/{id} | POST /v1/admin/ai/actions/{id}/undo | POST /v1/wallet/coverage-conversations | POST /v1/wallet/coverage-conversations/{id}/messages | POST /v1/wallet/coverage-conversations/{id}/escalate | POST /v1/wallet/passes | DELETE /v1/wallet/passes/{id} | GET /v1/me/miles | GET /v1/rewards | POST /v1/rewards/{id}/redeem | POST /v1/partners/redemptions/verify | POST /v1/partners/redemptions/{id}/consume | POST /v1/admin/miles/adjustments | POST /v1/admin/rewards/{id}/publish</w:t>
            </w:r>
          </w:p>
        </w:tc>
      </w:tr>
    </w:tbl>
    <w:p>
      <w:pPr>
        <w:spacing w:after="0"/>
      </w:pPr>
    </w:p>
    <w:p>
      <w:pPr/>
      <w:r>
        <w:rPr>
          <w:rFonts w:ascii="Inter" w:hAnsi="Inter"/>
          <w:i w:val="0"/>
        </w:rPr>
        <w:t>Les réponses publiques et professionnelles peuvent être des projections différentes du même objet, avec field-level authorization. Le site ne doit jamais recevoir les champs internes pour ensuite les masquer côté navigateur.</w:t>
      </w:r>
    </w:p>
    <w:p>
      <w:pPr>
        <w:pStyle w:val="Heading2"/>
        <w:keepNext/>
      </w:pPr>
      <w:r>
        <w:t>74.1 Routes Retire indicatives</w:t>
      </w:r>
    </w:p>
    <w:p>
      <w:pPr>
        <w:keepNext w:val="0"/>
      </w:pPr>
      <w:r>
        <w:t>Raccordement proposé ; les endpoints passent tous par la même API, les autorisations de foyer et les services existants.</w:t>
      </w:r>
    </w:p>
    <w:tbl>
      <w:tblPr>
        <w:tblStyle w:val="TableGrid"/>
        <w:tblW w:type="auto" w:w="0"/>
        <w:jc w:val="center"/>
        <w:tblLayout w:type="fixed"/>
        <w:tblLook w:firstColumn="1" w:firstRow="1" w:lastColumn="0" w:lastRow="0" w:noHBand="0" w:noVBand="1" w:val="04A0"/>
      </w:tblPr>
      <w:tblGrid>
        <w:gridCol w:w="5588"/>
        <w:gridCol w:w="4390"/>
      </w:tblGrid>
      <w:tr>
        <w:trPr>
          <w:cantSplit/>
          <w:tblHeader/>
        </w:trPr>
        <w:tc>
          <w:tcPr>
            <w:tcW w:type="dxa" w:w="5588"/>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Route illustrative</w:t>
            </w:r>
          </w:p>
        </w:tc>
        <w:tc>
          <w:tcPr>
            <w:tcW w:type="dxa" w:w="4390"/>
            <w:vAlign w:val="center"/>
            <w:shd w:fill="25265E"/>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color w:val="FFFFFF"/>
                <w:sz w:val="16"/>
              </w:rPr>
              <w:t>Objet</w:t>
            </w:r>
          </w:p>
        </w:tc>
      </w:tr>
      <w:tr>
        <w:trPr>
          <w:cantSplit/>
        </w:trPr>
        <w:tc>
          <w:tcPr>
            <w:tcW w:type="dxa" w:w="5588"/>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POST /v1/retirement/plans</w:t>
            </w:r>
          </w:p>
        </w:tc>
        <w:tc>
          <w:tcPr>
            <w:tcW w:type="dxa" w:w="43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Créer le plan lié au foyer autorisé.</w:t>
            </w:r>
          </w:p>
        </w:tc>
      </w:tr>
      <w:tr>
        <w:trPr>
          <w:cantSplit/>
        </w:trPr>
        <w:tc>
          <w:tcPr>
            <w:tcW w:type="dxa" w:w="5588"/>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POST /v1/retirement/plans/{id}/scenarios</w:t>
            </w:r>
          </w:p>
        </w:tc>
        <w:tc>
          <w:tcPr>
            <w:tcW w:type="dxa" w:w="43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Créer une variante et sa version.</w:t>
            </w:r>
          </w:p>
        </w:tc>
      </w:tr>
      <w:tr>
        <w:trPr>
          <w:cantSplit/>
        </w:trPr>
        <w:tc>
          <w:tcPr>
            <w:tcW w:type="dxa" w:w="5588"/>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POST /v1/retirement/scenarios/{id}/simulate</w:t>
            </w:r>
          </w:p>
        </w:tc>
        <w:tc>
          <w:tcPr>
            <w:tcW w:type="dxa" w:w="43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Lancer ou réutiliser un job de simulation.</w:t>
            </w:r>
          </w:p>
        </w:tc>
      </w:tr>
      <w:tr>
        <w:trPr>
          <w:cantSplit/>
        </w:trPr>
        <w:tc>
          <w:tcPr>
            <w:tcW w:type="dxa" w:w="5588"/>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GET /v1/retirement/plans/{id}/results</w:t>
            </w:r>
          </w:p>
        </w:tc>
        <w:tc>
          <w:tcPr>
            <w:tcW w:type="dxa" w:w="43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Lire les résultats autorisés et leur snapshot.</w:t>
            </w:r>
          </w:p>
        </w:tc>
      </w:tr>
      <w:tr>
        <w:trPr>
          <w:cantSplit/>
        </w:trPr>
        <w:tc>
          <w:tcPr>
            <w:tcW w:type="dxa" w:w="5588"/>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POST /v1/retirement/plans/{id}/reviews</w:t>
            </w:r>
          </w:p>
        </w:tc>
        <w:tc>
          <w:tcPr>
            <w:tcW w:type="dxa" w:w="4390"/>
            <w:vAlign w:val="top"/>
            <w:shd w:fill="FFFFFF"/>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Demander une revue reliée au dossier Admin.</w:t>
            </w:r>
          </w:p>
        </w:tc>
      </w:tr>
      <w:tr>
        <w:trPr>
          <w:cantSplit/>
        </w:trPr>
        <w:tc>
          <w:tcPr>
            <w:tcW w:type="dxa" w:w="5588"/>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POST /v1/orders ; GET /v1/me/entitlements</w:t>
            </w:r>
          </w:p>
        </w:tc>
        <w:tc>
          <w:tcPr>
            <w:tcW w:type="dxa" w:w="4390"/>
            <w:vAlign w:val="top"/>
            <w:shd w:fill="F2F3F8"/>
            <w:tcMar>
              <w:top w:w="85" w:type="dxa"/>
              <w:bottom w:w="85" w:type="dxa"/>
              <w:start w:w="105" w:type="dxa"/>
              <w:end w:w="105" w:type="dxa"/>
            </w:tcMar>
            <w:tcBorders>
              <w:top w:val="single" w:sz="3" w:color="C7CBD8"/>
              <w:bottom w:val="single" w:sz="3" w:color="C7CBD8"/>
              <w:left w:val="single" w:sz="3" w:color="C7CBD8"/>
              <w:right w:val="single" w:sz="3" w:color="C7CBD8"/>
            </w:tcBorders>
          </w:tcPr>
          <w:p>
            <w:pPr>
              <w:keepNext w:val="0"/>
              <w:spacing w:after="0"/>
            </w:pPr>
            <w:r>
              <w:rPr>
                <w:rFonts w:ascii="Inter" w:hAnsi="Inter"/>
                <w:b w:val="0"/>
                <w:color w:val="1A1D2B"/>
                <w:sz w:val="16"/>
              </w:rPr>
              <w:t>Acheter un service et retrouver les droits ; services communs.</w:t>
            </w:r>
          </w:p>
        </w:tc>
      </w:tr>
    </w:tbl>
    <w:p>
      <w:pPr>
        <w:keepNext w:val="0"/>
        <w:spacing w:after="40"/>
      </w:pPr>
    </w:p>
    <w:p>
      <w:pPr>
        <w:pStyle w:val="Heading1"/>
        <w:keepNext/>
      </w:pPr>
      <w:r>
        <w:rPr>
          <w:rFonts w:ascii="Inter" w:hAnsi="Inter"/>
        </w:rPr>
        <w:t>75. Événements et automatisation asynchrone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515"/>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Événement</w:t>
            </w:r>
          </w:p>
        </w:tc>
        <w:tc>
          <w:tcPr>
            <w:tcW w:type="dxa" w:w="6123"/>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Consommateurs possibles</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document.uploaded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classification, antivirus, OCR</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document.classified</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extraction et rapprochement</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contract.extracted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matching produit, complétude</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contract.ready_for_audit</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moteurs d’audit et benchmark</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audit.completed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Wallet, Admin, notification</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signature.completed</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workflow procuration/mandat/LPP</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insurer.request.sent</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timers et relances</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insurer.response.received</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ingress documentaire</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product.published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cache public, recalculs futurs, indexation</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simulation.completed</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persist, partage, Wallet</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annual_review.due</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nouvelle analyse, tâches, notification</w:t>
            </w:r>
          </w:p>
        </w:tc>
      </w:tr>
      <w:tr>
        <w:trPr>
          <w:cantSplit/>
        </w:trPr>
        <w:tc>
          <w:tcPr>
            <w:tcW w:type="dxa" w:w="3515"/>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partner_lead.status_changed</w:t>
            </w:r>
          </w:p>
        </w:tc>
        <w:tc>
          <w:tcPr>
            <w:tcW w:type="dxa" w:w="6123"/>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Partners, commission, reporting</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commission.accrued / paid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Partners et comptabilité</w:t>
            </w:r>
          </w:p>
        </w:tc>
      </w:tr>
      <w:tr>
        <w:tc>
          <w:tcPr>
            <w:tcW w:type="dxa" w:w="4989"/>
          </w:tcPr>
          <w:p>
            <w:r>
              <w:t>lead.created / assigned</w:t>
            </w:r>
          </w:p>
        </w:tc>
        <w:tc>
          <w:tcPr>
            <w:tcW w:type="dxa" w:w="4989"/>
          </w:tcPr>
          <w:p>
            <w:r>
              <w:t>CRM, tâches, notification, attribution et reporting</w:t>
            </w:r>
          </w:p>
        </w:tc>
      </w:tr>
      <w:tr>
        <w:tc>
          <w:tcPr>
            <w:tcW w:type="dxa" w:w="4989"/>
          </w:tcPr>
          <w:p>
            <w:r>
              <w:t>opportunity.stage_changed</w:t>
            </w:r>
          </w:p>
        </w:tc>
        <w:tc>
          <w:tcPr>
            <w:tcW w:type="dxa" w:w="4989"/>
          </w:tcPr>
          <w:p>
            <w:r>
              <w:t>pipeline, forecast, Partners si autorisé, automatisations</w:t>
            </w:r>
          </w:p>
        </w:tc>
      </w:tr>
      <w:tr>
        <w:tc>
          <w:tcPr>
            <w:tcW w:type="dxa" w:w="4989"/>
          </w:tcPr>
          <w:p>
            <w:r>
              <w:t>next_action.created / due</w:t>
            </w:r>
          </w:p>
        </w:tc>
        <w:tc>
          <w:tcPr>
            <w:tcW w:type="dxa" w:w="4989"/>
          </w:tcPr>
          <w:p>
            <w:r>
              <w:t>Kanban, rappels, dashboard et alertes de stagnation</w:t>
            </w:r>
          </w:p>
        </w:tc>
      </w:tr>
      <w:tr>
        <w:tc>
          <w:tcPr>
            <w:tcW w:type="dxa" w:w="4989"/>
          </w:tcPr>
          <w:p>
            <w:r>
              <w:t>task.completed / overdue</w:t>
            </w:r>
          </w:p>
        </w:tc>
        <w:tc>
          <w:tcPr>
            <w:tcW w:type="dxa" w:w="4989"/>
          </w:tcPr>
          <w:p>
            <w:r>
              <w:t>projet, dashboard, SLA, automatisations</w:t>
            </w:r>
          </w:p>
        </w:tc>
      </w:tr>
      <w:tr>
        <w:tc>
          <w:tcPr>
            <w:tcW w:type="dxa" w:w="4989"/>
          </w:tcPr>
          <w:p>
            <w:r>
              <w:t>email.received / linked</w:t>
            </w:r>
          </w:p>
        </w:tc>
        <w:tc>
          <w:tcPr>
            <w:tcW w:type="dxa" w:w="4989"/>
          </w:tcPr>
          <w:p>
            <w:r>
              <w:t>timeline, document ingress, tâches et rapprochement</w:t>
            </w:r>
          </w:p>
        </w:tc>
      </w:tr>
      <w:tr>
        <w:tc>
          <w:tcPr>
            <w:tcW w:type="dxa" w:w="4989"/>
          </w:tcPr>
          <w:p>
            <w:r>
              <w:t>calendar.event.synced / completed</w:t>
            </w:r>
          </w:p>
        </w:tc>
        <w:tc>
          <w:tcPr>
            <w:tcW w:type="dxa" w:w="4989"/>
          </w:tcPr>
          <w:p>
            <w:r>
              <w:t>timeline, préparation, compte rendu et prochaine action</w:t>
            </w:r>
          </w:p>
        </w:tc>
      </w:tr>
      <w:tr>
        <w:tc>
          <w:tcPr>
            <w:tcW w:type="dxa" w:w="4989"/>
          </w:tcPr>
          <w:p>
            <w:r>
              <w:t>revenue.forecast_changed</w:t>
            </w:r>
          </w:p>
        </w:tc>
        <w:tc>
          <w:tcPr>
            <w:tcW w:type="dxa" w:w="4989"/>
          </w:tcPr>
          <w:p>
            <w:r>
              <w:t>dashboard, objectifs, snapshots de prévision</w:t>
            </w:r>
          </w:p>
        </w:tc>
      </w:tr>
      <w:tr>
        <w:tc>
          <w:tcPr>
            <w:tcW w:type="dxa" w:w="4989"/>
          </w:tcPr>
          <w:p>
            <w:r>
              <w:t>revenue.realized / received</w:t>
            </w:r>
          </w:p>
        </w:tc>
        <w:tc>
          <w:tcPr>
            <w:tcW w:type="dxa" w:w="4989"/>
          </w:tcPr>
          <w:p>
            <w:r>
              <w:t>reporting, commissions, comptabilité et Partners si autorisé</w:t>
            </w:r>
          </w:p>
        </w:tc>
      </w:tr>
      <w:tr>
        <w:tc>
          <w:tcPr>
            <w:tcW w:type="dxa" w:w="4989"/>
          </w:tcPr>
          <w:p>
            <w:pPr/>
            <w:r>
              <w:t>ai.message.received</w:t>
            </w:r>
          </w:p>
        </w:tc>
        <w:tc>
          <w:tcPr>
            <w:tcW w:type="dxa" w:w="4989"/>
          </w:tcPr>
          <w:p>
            <w:pPr/>
            <w:r>
              <w:t>context assembly, retrieval, intent analysis and response</w:t>
            </w:r>
          </w:p>
        </w:tc>
      </w:tr>
      <w:tr>
        <w:tc>
          <w:tcPr>
            <w:tcW w:type="dxa" w:w="4989"/>
          </w:tcPr>
          <w:p>
            <w:pPr/>
            <w:r>
              <w:t>ai.action.proposed</w:t>
            </w:r>
          </w:p>
        </w:tc>
        <w:tc>
          <w:tcPr>
            <w:tcW w:type="dxa" w:w="4989"/>
          </w:tcPr>
          <w:p>
            <w:pPr/>
            <w:r>
              <w:t>preview, policy check, approval request and UI notification</w:t>
            </w:r>
          </w:p>
        </w:tc>
      </w:tr>
      <w:tr>
        <w:tc>
          <w:tcPr>
            <w:tcW w:type="dxa" w:w="4989"/>
          </w:tcPr>
          <w:p>
            <w:pPr/>
            <w:r>
              <w:t>ai.action.confirmed / executed</w:t>
            </w:r>
          </w:p>
        </w:tc>
        <w:tc>
          <w:tcPr>
            <w:tcW w:type="dxa" w:w="4989"/>
          </w:tcPr>
          <w:p>
            <w:pPr/>
            <w:r>
              <w:t>domain services, timeline, audit trail, notifications and possible compensation record</w:t>
            </w:r>
          </w:p>
        </w:tc>
      </w:tr>
      <w:tr>
        <w:tc>
          <w:tcPr>
            <w:tcW w:type="dxa" w:w="4989"/>
          </w:tcPr>
          <w:p>
            <w:pPr/>
            <w:r>
              <w:t>ai.action.failed / reversed</w:t>
            </w:r>
          </w:p>
        </w:tc>
        <w:tc>
          <w:tcPr>
            <w:tcW w:type="dxa" w:w="4989"/>
          </w:tcPr>
          <w:p>
            <w:pPr/>
            <w:r>
              <w:t>exception queue, user feedback, observability and audit</w:t>
            </w:r>
          </w:p>
        </w:tc>
      </w:tr>
      <w:tr>
        <w:tc>
          <w:tcPr>
            <w:tcW w:type="dxa" w:w="4989"/>
          </w:tcPr>
          <w:p>
            <w:pPr/>
            <w:r>
              <w:t>ai.attachment.ingested</w:t>
            </w:r>
          </w:p>
        </w:tc>
        <w:tc>
          <w:tcPr>
            <w:tcW w:type="dxa" w:w="4989"/>
          </w:tcPr>
          <w:p>
            <w:pPr/>
            <w:r>
              <w:t>antivirus, classification, OCR, extraction, matching and proposed updates</w:t>
            </w:r>
          </w:p>
        </w:tc>
      </w:tr>
      <w:tr>
        <w:tc>
          <w:tcPr>
            <w:tcW w:type="dxa" w:w="4989"/>
          </w:tcPr>
          <w:p>
            <w:pPr/>
            <w:r>
              <w:t>voice.transcribed</w:t>
            </w:r>
          </w:p>
        </w:tc>
        <w:tc>
          <w:tcPr>
            <w:tcW w:type="dxa" w:w="4989"/>
          </w:tcPr>
          <w:p>
            <w:pPr/>
            <w:r>
              <w:t>editable draft, chat command or target text field</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coverage.question.asked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context assembly, contract matching, retrieval and analytics</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coverage.answer.generated / review_required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Wallet response, Admin review queue, audit and notification</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coverage.case.escalated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support case, task creation, SLA, client timeline and Admin</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pass.issued / updated / revoked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pass provider, Wallet, security log and notifications</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miles.earned_pending / available</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ledger, balance projection, Wallet card and campaign analytics</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miles.redeemed / expired / reversed / adjusted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ledger, Wallet history, reporting, fraud controls and notifications</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reward.published / stock_changed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Wallet shop, cache, Partners and campaigns</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reward.redemption.reserved / consumed / cancelled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ledger, voucher, partner validation, stock and settlement</w:t>
            </w:r>
          </w:p>
        </w:tc>
      </w:tr>
      <w:t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partner.offer.submitted / approved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Admin validation, catalog publication and partner reporting</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retirement.plan.created / versioned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Wallet, dossier foyer, audit trail et sauvegarde.</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retirement.simulation.completed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Résultats, comparaison, notification et archivage du snapshot.</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retirement.monitoring.alert_raised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Wallet, tâche Admin, prochaine action et éventuelle revue.</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retirement.decision.confirmed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Version du plan, preuve, timeline et préparation du suivi.</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service.order.paid / entitlement.granted</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Accès Plan / Strategy, crédit de montée en gamme, revenus et dossier expert.</w:t>
            </w:r>
          </w:p>
        </w:tc>
      </w:tr>
      <w:tr>
        <w:trPr>
          <w:cantSplit/>
        </w:trPr>
        <w:tc>
          <w:tcPr>
            <w:tcW w:type="dxa" w:w="3515"/>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retirement.care.status_changed / review.due</w:t>
            </w:r>
          </w:p>
        </w:tc>
        <w:tc>
          <w:tcPr>
            <w:tcW w:type="dxa" w:w="6123"/>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Droits Care, monitoring, calendrier, dossier et notifications.</w:t>
            </w:r>
          </w:p>
        </w:tc>
      </w:tr>
    </w:tbl>
    <w:p>
      <w:pPr>
        <w:spacing w:after="0"/>
      </w:pPr>
    </w:p>
    <w:p>
      <w:pPr/>
      <w:r>
        <w:rPr>
          <w:rFonts w:ascii="Inter" w:hAnsi="Inter"/>
          <w:i w:val="0"/>
        </w:rPr>
        <w:t>Une file de jobs et un pattern outbox sont recommandés pour éviter qu’un email, une extraction ou un audit soit perdu entre une transaction en base et le traitement asynchrone.</w:t>
      </w:r>
    </w:p>
    <w:p>
      <w:pPr>
        <w:pStyle w:val="Heading1"/>
        <w:keepNext/>
      </w:pPr>
      <w:r>
        <w:rPr>
          <w:rFonts w:ascii="Inter" w:hAnsi="Inter"/>
        </w:rPr>
        <w:t>76. Calculs lourds, cache et reproductibilité</w:t>
      </w:r>
    </w:p>
    <w:p>
      <w:pPr/>
      <w:r>
        <w:rPr>
          <w:rFonts w:ascii="Inter" w:hAnsi="Inter"/>
          <w:i w:val="0"/>
        </w:rPr>
        <w:t>Les simulations Monte Carlo ou bootstrap ne doivent pas être recalculées à chaque affichage. Le système peut produire une clé déterministe à partir des inputs normalisés, hypothèses, données de marché et version du moteur.</w:t>
      </w:r>
    </w:p>
    <w:tbl>
      <w:tblPr>
        <w:tblW w:type="auto" w:w="0"/>
        <w:tblLook w:firstColumn="1" w:firstRow="1" w:lastColumn="0" w:lastRow="0" w:noHBand="0" w:noVBand="1" w:val="04A0"/>
      </w:tblPr>
      <w:tblGrid>
        <w:gridCol w:w="9978"/>
      </w:tblGrid>
      <w:tr>
        <w:tc>
          <w:tcPr>
            <w:tcW w:type="dxa" w:w="9978"/>
            <w:shd w:fill="F5F6FA" w:val="clear"/>
            <w:tcBorders>
              <w:top w:sz="4" w:val="single" w:color="C7CBD8"/>
              <w:left w:sz="4" w:val="single" w:color="C7CBD8"/>
              <w:bottom w:sz="4" w:val="single" w:color="C7CBD8"/>
              <w:right w:sz="4" w:val="single" w:color="C7CBD8"/>
            </w:tcBorders>
            <w:tcMar>
              <w:top w:w="100" w:type="dxa"/>
              <w:start w:w="140" w:type="dxa"/>
              <w:bottom w:w="100" w:type="dxa"/>
              <w:end w:w="140" w:type="dxa"/>
            </w:tcMar>
          </w:tcPr>
          <w:p>
            <w:pPr>
              <w:pStyle w:val="CoverViewCode"/>
              <w:ind w:left="0"/>
            </w:pPr>
            <w:r>
              <w:rPr>
                <w:rFonts w:ascii="DejaVu Sans Mono" w:hAnsi="DejaVu Sans Mono"/>
                <w:color w:val="1A1D2B"/>
                <w:sz w:val="16"/>
              </w:rPr>
              <w:t>simulationKey = hash(inputs + assumptions + dataVersion + engineVersion + seedPolicy)</w:t>
            </w:r>
          </w:p>
        </w:tc>
      </w:tr>
    </w:tbl>
    <w:p>
      <w:pPr>
        <w:spacing w:after="0"/>
      </w:pPr>
    </w:p>
    <w:p>
      <w:pPr>
        <w:pStyle w:val="ListBullet"/>
        <w:spacing w:after="50"/>
        <w:ind w:left="312" w:hanging="102"/>
      </w:pPr>
      <w:r>
        <w:rPr>
          <w:rFonts w:ascii="Inter" w:hAnsi="Inter"/>
        </w:rPr>
        <w:t>réutiliser un résultat déjà calculé lorsque la clé est identique ;</w:t>
      </w:r>
    </w:p>
    <w:p>
      <w:pPr>
        <w:pStyle w:val="ListBullet"/>
        <w:spacing w:after="50"/>
        <w:ind w:left="312" w:hanging="102"/>
      </w:pPr>
      <w:r>
        <w:rPr>
          <w:rFonts w:ascii="Inter" w:hAnsi="Inter"/>
        </w:rPr>
        <w:t>stocker quantiles, histogramme, distribution résumée et métriques nécessaires ;</w:t>
      </w:r>
    </w:p>
    <w:p>
      <w:pPr>
        <w:pStyle w:val="ListBullet"/>
        <w:spacing w:after="50"/>
        <w:ind w:left="312" w:hanging="102"/>
      </w:pPr>
      <w:r>
        <w:rPr>
          <w:rFonts w:ascii="Inter" w:hAnsi="Inter"/>
        </w:rPr>
        <w:t>conserver éventuellement les trajectoires brutes seulement si utile et économiquement raisonnable ;</w:t>
      </w:r>
    </w:p>
    <w:p>
      <w:pPr>
        <w:pStyle w:val="ListBullet"/>
        <w:spacing w:after="50"/>
        <w:ind w:left="312" w:hanging="102"/>
      </w:pPr>
      <w:r>
        <w:rPr>
          <w:rFonts w:ascii="Inter" w:hAnsi="Inter"/>
        </w:rPr>
        <w:t>recalculer lorsque les inputs ou une version changent ;</w:t>
      </w:r>
    </w:p>
    <w:p>
      <w:pPr>
        <w:pStyle w:val="ListBullet"/>
        <w:spacing w:after="50"/>
        <w:ind w:left="312" w:hanging="102"/>
      </w:pPr>
      <w:r>
        <w:rPr>
          <w:rFonts w:ascii="Inter" w:hAnsi="Inter"/>
        </w:rPr>
        <w:t>ne jamais confondre cache technique et archive réglementaire ;</w:t>
      </w:r>
    </w:p>
    <w:p>
      <w:pPr>
        <w:pStyle w:val="ListBullet"/>
        <w:spacing w:after="50"/>
        <w:ind w:left="312" w:hanging="102"/>
      </w:pPr>
      <w:r>
        <w:rPr>
          <w:rFonts w:ascii="Inter" w:hAnsi="Inter"/>
        </w:rPr>
        <w:t>permettre un recalcul explicite avec une nouvelle version.</w:t>
      </w:r>
    </w:p>
    <w:p>
      <w:pPr>
        <w:pStyle w:val="Heading2"/>
        <w:keepNext/>
      </w:pPr>
      <w:r>
        <w:t>76.1 Profil de calcul Retire</w:t>
      </w:r>
    </w:p>
    <w:p>
      <w:pPr>
        <w:keepNext w:val="0"/>
      </w:pPr>
      <w:r>
        <w:t>Inclure dans la clé de cache le plan versionné, le foyer et ses droits de lecture, les scénarios de vie, les règles de caisse, la politique Growth Cascade, la méthode, le nombre de trajectoires et les sources. Le résultat conserve N réellement exécuté et les diagnostics. Une modification de règles, de budget ou de source produit une nouvelle version. Les stress forcés restent identifiables séparément des probabilités estimées, selon la méthode définie.</w:t>
      </w:r>
    </w:p>
    <w:p>
      <w:pPr>
        <w:pStyle w:val="Heading1"/>
        <w:keepNext/>
        <w:spacing w:before="200" w:after="100"/>
      </w:pPr>
      <w:r>
        <w:rPr>
          <w:rFonts w:ascii="Inter" w:hAnsi="Inter"/>
        </w:rPr>
        <w:t>77. Sécurité, confidentialité et conformité</w:t>
      </w:r>
    </w:p>
    <w:p>
      <w:pPr>
        <w:pStyle w:val="Heading2"/>
        <w:keepNext/>
        <w:spacing w:before="160" w:after="80"/>
      </w:pPr>
      <w:r>
        <w:rPr>
          <w:rFonts w:ascii="Inter" w:hAnsi="Inter"/>
        </w:rPr>
        <w:t>77.1 Contrôles essentiels</w:t>
      </w:r>
    </w:p>
    <w:p>
      <w:pPr>
        <w:pStyle w:val="ListBullet"/>
        <w:spacing w:after="50"/>
        <w:ind w:left="312" w:hanging="102"/>
      </w:pPr>
      <w:r>
        <w:rPr>
          <w:rFonts w:ascii="Inter" w:hAnsi="Inter"/>
        </w:rPr>
        <w:t>chiffrement en transit et au repos ;</w:t>
      </w:r>
    </w:p>
    <w:p>
      <w:pPr>
        <w:pStyle w:val="ListBullet"/>
        <w:spacing w:after="50"/>
        <w:ind w:left="312" w:hanging="102"/>
      </w:pPr>
      <w:r>
        <w:rPr>
          <w:rFonts w:ascii="Inter" w:hAnsi="Inter"/>
        </w:rPr>
        <w:t>séparation des secrets et rotation des clés ;</w:t>
      </w:r>
    </w:p>
    <w:p>
      <w:pPr>
        <w:pStyle w:val="ListBullet"/>
        <w:spacing w:after="50"/>
        <w:ind w:left="312" w:hanging="102"/>
      </w:pPr>
      <w:r>
        <w:rPr>
          <w:rFonts w:ascii="Inter" w:hAnsi="Inter"/>
        </w:rPr>
        <w:t>RBAC, éventuellement complété par RLS et règles attributaires ;</w:t>
      </w:r>
    </w:p>
    <w:p>
      <w:pPr>
        <w:pStyle w:val="ListBullet"/>
        <w:spacing w:after="50"/>
        <w:ind w:left="312" w:hanging="102"/>
      </w:pPr>
      <w:r>
        <w:rPr>
          <w:rFonts w:ascii="Inter" w:hAnsi="Inter"/>
        </w:rPr>
        <w:t>journalisation des accès aux documents sensibles ;</w:t>
      </w:r>
    </w:p>
    <w:p>
      <w:pPr>
        <w:pStyle w:val="ListBullet"/>
        <w:spacing w:after="50"/>
        <w:ind w:left="312" w:hanging="102"/>
      </w:pPr>
      <w:r>
        <w:rPr>
          <w:rFonts w:ascii="Inter" w:hAnsi="Inter"/>
        </w:rPr>
        <w:t>antivirus et contrôle des fichiers entrants ;</w:t>
      </w:r>
    </w:p>
    <w:p>
      <w:pPr>
        <w:pStyle w:val="ListBullet"/>
        <w:spacing w:after="50"/>
        <w:ind w:left="312" w:hanging="102"/>
      </w:pPr>
      <w:r>
        <w:rPr>
          <w:rFonts w:ascii="Inter" w:hAnsi="Inter"/>
        </w:rPr>
        <w:t>durées de conservation par type de donnée ;</w:t>
      </w:r>
    </w:p>
    <w:p>
      <w:pPr>
        <w:pStyle w:val="ListBullet"/>
        <w:spacing w:after="50"/>
        <w:ind w:left="312" w:hanging="102"/>
      </w:pPr>
      <w:r>
        <w:rPr>
          <w:rFonts w:ascii="Inter" w:hAnsi="Inter"/>
        </w:rPr>
        <w:t>export, rectification et suppression selon obligations ;</w:t>
      </w:r>
    </w:p>
    <w:p>
      <w:pPr>
        <w:pStyle w:val="ListBullet"/>
        <w:spacing w:after="50"/>
        <w:ind w:left="312" w:hanging="102"/>
      </w:pPr>
      <w:r>
        <w:rPr>
          <w:rFonts w:ascii="Inter" w:hAnsi="Inter"/>
        </w:rPr>
        <w:t>consentements et finalités explicites ;</w:t>
      </w:r>
    </w:p>
    <w:p>
      <w:pPr>
        <w:pStyle w:val="ListBullet"/>
        <w:spacing w:after="50"/>
        <w:ind w:left="312" w:hanging="102"/>
      </w:pPr>
      <w:r>
        <w:rPr>
          <w:rFonts w:ascii="Inter" w:hAnsi="Inter"/>
        </w:rPr>
        <w:t>revue des sous-traitants OCR, signature, email et stockage ;</w:t>
      </w:r>
    </w:p>
    <w:p>
      <w:pPr>
        <w:pStyle w:val="ListBullet"/>
        <w:spacing w:after="50"/>
        <w:ind w:left="312" w:hanging="102"/>
      </w:pPr>
      <w:r>
        <w:rPr>
          <w:rFonts w:ascii="Inter" w:hAnsi="Inter"/>
        </w:rPr>
        <w:t>scopes OAuth Google minimaux, révocables et limités aux comptes, labels ou calendriers nécessaires ;</w:t>
      </w:r>
    </w:p>
    <w:p>
      <w:pPr>
        <w:pStyle w:val="ListBullet"/>
        <w:spacing w:after="50"/>
        <w:ind w:left="312" w:hanging="102"/>
      </w:pPr>
      <w:r>
        <w:rPr>
          <w:rFonts w:ascii="Inter" w:hAnsi="Inter"/>
        </w:rPr>
        <w:t>chiffrement et rotation des jetons d’intégration, sans exposition aux frontends ;</w:t>
      </w:r>
    </w:p>
    <w:p>
      <w:pPr>
        <w:pStyle w:val="ListBullet"/>
        <w:spacing w:after="50"/>
        <w:ind w:left="312" w:hanging="102"/>
      </w:pPr>
      <w:r>
        <w:rPr>
          <w:rFonts w:ascii="Inter" w:hAnsi="Inter"/>
        </w:rPr>
        <w:t>règles explicites empêchant l’ingestion d’emails ou d’événements privés sans lien avec CoverView ;</w:t>
      </w:r>
    </w:p>
    <w:p>
      <w:pPr>
        <w:pStyle w:val="ListBullet"/>
        <w:spacing w:after="50"/>
        <w:ind w:left="312" w:hanging="102"/>
      </w:pPr>
      <w:r>
        <w:rPr>
          <w:rFonts w:ascii="Inter" w:hAnsi="Inter"/>
        </w:rPr>
        <w:t>journalisation des synchronisations, rattachements, envois et actions automatiques.</w:t>
      </w:r>
    </w:p>
    <w:p>
      <w:pPr>
        <w:pStyle w:val="ListBullet"/>
        <w:spacing w:after="50"/>
        <w:ind w:left="312" w:hanging="102"/>
      </w:pPr>
      <w:r>
        <w:rPr>
          <w:rFonts w:ascii="Inter" w:hAnsi="Inter"/>
        </w:rPr>
        <w:t>plans de reprise et sauvegardes testées.</w:t>
      </w:r>
    </w:p>
    <w:p>
      <w:pPr>
        <w:pStyle w:val="Heading2"/>
        <w:keepNext/>
        <w:spacing w:before="160" w:after="80"/>
      </w:pPr>
      <w:r>
        <w:rPr>
          <w:rFonts w:ascii="Inter" w:hAnsi="Inter"/>
        </w:rPr>
        <w:t>77.2 Risque modèle et communication financière</w:t>
      </w:r>
    </w:p>
    <w:p>
      <w:pPr>
        <w:pStyle w:val="ListBullet"/>
        <w:spacing w:after="50"/>
        <w:ind w:left="312" w:hanging="102"/>
      </w:pPr>
      <w:r>
        <w:rPr>
          <w:rFonts w:ascii="Inter" w:hAnsi="Inter"/>
        </w:rPr>
        <w:t>hypothèses visibles ;</w:t>
      </w:r>
    </w:p>
    <w:p>
      <w:pPr>
        <w:pStyle w:val="ListBullet"/>
        <w:spacing w:after="50"/>
        <w:ind w:left="312" w:hanging="102"/>
      </w:pPr>
      <w:r>
        <w:rPr>
          <w:rFonts w:ascii="Inter" w:hAnsi="Inter"/>
        </w:rPr>
        <w:t>distinction historique / simulation / projection ;</w:t>
      </w:r>
    </w:p>
    <w:p>
      <w:pPr>
        <w:pStyle w:val="ListBullet"/>
        <w:spacing w:after="50"/>
        <w:ind w:left="312" w:hanging="102"/>
      </w:pPr>
      <w:r>
        <w:rPr>
          <w:rFonts w:ascii="Inter" w:hAnsi="Inter"/>
        </w:rPr>
        <w:t>pas de garantie implicite ;</w:t>
      </w:r>
    </w:p>
    <w:p>
      <w:pPr>
        <w:pStyle w:val="ListBullet"/>
        <w:spacing w:after="50"/>
        <w:ind w:left="312" w:hanging="102"/>
      </w:pPr>
      <w:r>
        <w:rPr>
          <w:rFonts w:ascii="Inter" w:hAnsi="Inter"/>
        </w:rPr>
        <w:t>tests de sensibilité ;</w:t>
      </w:r>
    </w:p>
    <w:p>
      <w:pPr>
        <w:pStyle w:val="ListBullet"/>
        <w:spacing w:after="50"/>
        <w:ind w:left="312" w:hanging="102"/>
      </w:pPr>
      <w:r>
        <w:rPr>
          <w:rFonts w:ascii="Inter" w:hAnsi="Inter"/>
        </w:rPr>
        <w:t>validation des règles de scoring ;</w:t>
      </w:r>
    </w:p>
    <w:p>
      <w:pPr>
        <w:pStyle w:val="ListBullet"/>
        <w:spacing w:after="50"/>
        <w:ind w:left="312" w:hanging="102"/>
      </w:pPr>
      <w:r>
        <w:rPr>
          <w:rFonts w:ascii="Inter" w:hAnsi="Inter"/>
        </w:rPr>
        <w:t>journal des versions et possibilité d’expliquer un résultat ;</w:t>
      </w:r>
    </w:p>
    <w:p>
      <w:pPr>
        <w:pStyle w:val="ListBullet"/>
        <w:spacing w:after="50"/>
        <w:ind w:left="312" w:hanging="102"/>
      </w:pPr>
      <w:r>
        <w:rPr>
          <w:rFonts w:ascii="Inter" w:hAnsi="Inter"/>
        </w:rPr>
        <w:t>revue humaine lorsque l’impact d’une donnée incertaine est important.</w:t>
      </w:r>
    </w:p>
    <w:p>
      <w:pPr>
        <w:pStyle w:val="Heading2"/>
        <w:spacing w:before="160" w:after="80"/>
      </w:pPr>
      <w:r>
        <w:t>77.3 Sécurité propre au copilote IA</w:t>
      </w:r>
    </w:p>
    <w:p>
      <w:pPr>
        <w:pStyle w:val="ListBullet"/>
      </w:pPr>
      <w:r>
        <w:t>aucun accès SQL direct ni secret technique exposé au modèle ; toutes les actions passent par un Tool Gateway contrôlé ;</w:t>
      </w:r>
    </w:p>
    <w:p>
      <w:pPr>
        <w:pStyle w:val="ListBullet"/>
      </w:pPr>
      <w:r>
        <w:t>RBAC/ABAC vérifié lors de la lecture du contexte puis à nouveau lors de chaque action ;</w:t>
      </w:r>
    </w:p>
    <w:p>
      <w:pPr>
        <w:pStyle w:val="ListBullet"/>
      </w:pPr>
      <w:r>
        <w:t>séparation stricte entre instructions de l’utilisateur, contenu non fiable des documents et règles système ;</w:t>
      </w:r>
    </w:p>
    <w:p>
      <w:pPr>
        <w:pStyle w:val="ListBullet"/>
      </w:pPr>
      <w:r>
        <w:t>défenses contre l’injection de prompt, l’exfiltration de données et les instructions malveillantes contenues dans les pièces jointes ou emails ;</w:t>
      </w:r>
    </w:p>
    <w:p>
      <w:pPr>
        <w:pStyle w:val="ListBullet"/>
      </w:pPr>
      <w:r>
        <w:t>matrice de confirmation selon l’impact : envoi externe, publication, finance, suppression, signature, changement massif ou donnée sensible ;</w:t>
      </w:r>
    </w:p>
    <w:p>
      <w:pPr>
        <w:pStyle w:val="ListBullet"/>
      </w:pPr>
      <w:r>
        <w:t>journal des messages, versions de modèle, contexte référencé, actions, paramètres, approbations, erreurs et résultats, sans stocker une chaîne de pensée privée ;</w:t>
      </w:r>
    </w:p>
    <w:p>
      <w:pPr>
        <w:pStyle w:val="ListBullet"/>
      </w:pPr>
      <w:r>
        <w:t>limites de rétention et de réutilisation des conversations, transcriptions et fichiers définies par type de donnée ;</w:t>
      </w:r>
    </w:p>
    <w:p>
      <w:pPr>
        <w:pStyle w:val="ListBullet"/>
      </w:pPr>
      <w:r>
        <w:t>possibilité de désactiver une action ou un fournisseur de modèle sans empêcher l’utilisation structurée d’Admin ;</w:t>
      </w:r>
    </w:p>
    <w:p>
      <w:pPr>
        <w:pStyle w:val="ListBullet"/>
      </w:pPr>
      <w:r>
        <w:t>tests réguliers de permissions, hallucinations, injections, actions dangereuses, fuites inter-clients et résistance aux documents adversariaux.</w:t>
      </w:r>
    </w:p>
    <w:p>
      <w:pPr>
        <w:pStyle w:val="Heading2"/>
        <w:spacing w:before="160" w:after="80"/>
      </w:pPr>
      <w:r>
        <w:t>77.4 Sécurité et rigueur de l’assistant de couverture</w:t>
      </w:r>
    </w:p>
    <w:p>
      <w:pPr>
        <w:pStyle w:val="ListBullet"/>
      </w:pPr>
      <w:r>
        <w:t>retrieval limité aux contrats, documents et données que le client et le rôle courant sont autorisés à consulter ;</w:t>
      </w:r>
    </w:p>
    <w:p>
      <w:pPr>
        <w:pStyle w:val="ListBullet"/>
      </w:pPr>
      <w:r>
        <w:t>version contractuelle et date des faits obligatoires avant toute conclusion sensible ;</w:t>
      </w:r>
    </w:p>
    <w:p>
      <w:pPr>
        <w:pStyle w:val="ListBullet"/>
      </w:pPr>
      <w:r>
        <w:t>citations vérifiées vers des passages réellement récupérés, avec détection des références invalides ;</w:t>
      </w:r>
    </w:p>
    <w:p>
      <w:pPr>
        <w:pStyle w:val="ListBullet"/>
      </w:pPr>
      <w:r>
        <w:t>séparation entre texte contractuel, métadonnée vérifiée, inférence et information déclarée par le client ;</w:t>
      </w:r>
    </w:p>
    <w:p>
      <w:pPr>
        <w:pStyle w:val="ListBullet"/>
      </w:pPr>
      <w:r>
        <w:t>aucune formulation de garantie d’indemnisation ou de décision définitive de sinistre ;</w:t>
      </w:r>
    </w:p>
    <w:p>
      <w:pPr>
        <w:pStyle w:val="ListBullet"/>
      </w:pPr>
      <w:r>
        <w:t>escalade lorsque les sources sont absentes, contradictoires, médicales, juridiques, urgentes ou à fort impact ;</w:t>
      </w:r>
    </w:p>
    <w:p>
      <w:pPr>
        <w:pStyle w:val="ListBullet"/>
      </w:pPr>
      <w:r>
        <w:t>protection contre les injections contenues dans les CGA, courriers et pièces jointes ;</w:t>
      </w:r>
    </w:p>
    <w:p>
      <w:pPr>
        <w:pStyle w:val="ListBullet"/>
      </w:pPr>
      <w:r>
        <w:t>tests de non-fuite inter-client, de couverture des citations, d’omission d’exclusion et de comportement face à l’incertitude.</w:t>
      </w:r>
    </w:p>
    <w:p>
      <w:pPr>
        <w:pStyle w:val="Heading2"/>
        <w:spacing w:before="160" w:after="80"/>
      </w:pPr>
      <w:r>
        <w:t>77.5 Sécurité, fraude et conformité de la carte et des Miles</w:t>
      </w:r>
    </w:p>
    <w:p>
      <w:pPr>
        <w:pStyle w:val="ListBullet"/>
      </w:pPr>
      <w:r>
        <w:t>jeton de carte opaque, à portée limitée, révocable et validé côté serveur ; aucune donnée sensible ou secret de connexion dans le QR ;</w:t>
      </w:r>
    </w:p>
    <w:p>
      <w:pPr>
        <w:pStyle w:val="ListBullet"/>
      </w:pPr>
      <w:r>
        <w:t>ledger append-only, opérations atomiques, idempotency keys et impossibilité de double dépense ;</w:t>
      </w:r>
    </w:p>
    <w:p>
      <w:pPr>
        <w:pStyle w:val="ListBullet"/>
      </w:pPr>
      <w:r>
        <w:t>séparation des statuts pending, available, reserved et redeemed ; aucun solde négatif non autorisé ;</w:t>
      </w:r>
    </w:p>
    <w:p>
      <w:pPr>
        <w:pStyle w:val="ListBullet"/>
      </w:pPr>
      <w:r>
        <w:t>contrôles anti-fraude, vélocité, plafonds, déduplication, réutilisation de voucher et anomalies partenaires ;</w:t>
      </w:r>
    </w:p>
    <w:p>
      <w:pPr>
        <w:pStyle w:val="ListBullet"/>
      </w:pPr>
      <w:r>
        <w:t>règles, conditions, expirations et valeur des rewards communiquées de façon claire au client ;</w:t>
      </w:r>
    </w:p>
    <w:p>
      <w:pPr>
        <w:pStyle w:val="ListBullet"/>
      </w:pPr>
      <w:r>
        <w:t>validation juridique, fiscale, comptable et réglementaire pour cashback, équivalence monétaire, avantages liés aux contrats et assurances offertes ;</w:t>
      </w:r>
    </w:p>
    <w:p>
      <w:pPr>
        <w:pStyle w:val="ListBullet"/>
      </w:pPr>
      <w:r>
        <w:t>suivi de la responsabilité financière des Miles en circulation et rapprochement des règlements partenaires ;</w:t>
      </w:r>
    </w:p>
    <w:p>
      <w:pPr>
        <w:pStyle w:val="ListBullet"/>
      </w:pPr>
      <w:r>
        <w:t>suppression ou révocation d’un pass sans suppression de l’historique métier nécessaire à l’audit.</w:t>
      </w:r>
    </w:p>
    <w:p>
      <w:pPr>
        <w:pStyle w:val="Heading2"/>
        <w:keepNext/>
        <w:spacing w:before="160" w:after="80"/>
      </w:pPr>
      <w:r>
        <w:t>77.6 Périmètre propre à Retire</w:t>
      </w:r>
    </w:p>
    <w:p>
      <w:pPr>
        <w:keepNext w:val="0"/>
      </w:pPr>
      <w:r>
        <w:t>Exigences issues de [RET-1, p. 6] : validation préalable du périmètre réglementaire, des recommandations personnalisées, du Lombard, de la fiscalité, des règles LPP, des survivants et des hypothèses EMS / prestations complémentaires. Raccordement proposé : accès au plan du foyer par autorisation explicite ; séparation entre simulation, décision validée et exécution ; impossibilité pour un calcul ou le chat de déclencher implicitement un retrait, un ordre ou un crédit.</w:t>
      </w:r>
    </w:p>
    <w:p>
      <w:pPr>
        <w:pStyle w:val="Heading1"/>
        <w:keepNext/>
        <w:spacing w:before="200" w:after="100"/>
      </w:pPr>
      <w:r>
        <w:rPr>
          <w:rFonts w:ascii="Inter" w:hAnsi="Inter"/>
        </w:rPr>
        <w:t>78. Performance et résilience</w:t>
      </w:r>
    </w:p>
    <w:p>
      <w:pPr>
        <w:pStyle w:val="ListBullet"/>
        <w:spacing w:after="50"/>
        <w:ind w:left="312" w:hanging="102"/>
      </w:pPr>
      <w:r>
        <w:rPr>
          <w:rFonts w:ascii="Inter" w:hAnsi="Inter"/>
        </w:rPr>
        <w:t>site Astro rapide et contenu essentiel rendu côté serveur ou statiquement ;</w:t>
      </w:r>
    </w:p>
    <w:p>
      <w:pPr>
        <w:pStyle w:val="ListBullet"/>
        <w:spacing w:after="50"/>
        <w:ind w:left="312" w:hanging="102"/>
      </w:pPr>
      <w:r>
        <w:rPr>
          <w:rFonts w:ascii="Inter" w:hAnsi="Inter"/>
        </w:rPr>
        <w:t>islands React uniquement pour les expériences interactives ;</w:t>
      </w:r>
    </w:p>
    <w:p>
      <w:pPr>
        <w:pStyle w:val="ListBullet"/>
        <w:spacing w:after="50"/>
        <w:ind w:left="312" w:hanging="102"/>
      </w:pPr>
      <w:r>
        <w:rPr>
          <w:rFonts w:ascii="Inter" w:hAnsi="Inter"/>
        </w:rPr>
        <w:t>CDN et cache pour données publiques publiées ;</w:t>
      </w:r>
    </w:p>
    <w:p>
      <w:pPr>
        <w:pStyle w:val="ListBullet"/>
        <w:spacing w:after="50"/>
        <w:ind w:left="312" w:hanging="102"/>
      </w:pPr>
      <w:r>
        <w:rPr>
          <w:rFonts w:ascii="Inter" w:hAnsi="Inter"/>
        </w:rPr>
        <w:t>jobs asynchrones pour OCR, simulations et rapports ;</w:t>
      </w:r>
    </w:p>
    <w:p>
      <w:pPr>
        <w:pStyle w:val="ListBullet"/>
        <w:spacing w:after="50"/>
        <w:ind w:left="312" w:hanging="102"/>
      </w:pPr>
      <w:r>
        <w:rPr>
          <w:rFonts w:ascii="Inter" w:hAnsi="Inter"/>
        </w:rPr>
        <w:t>progression temps réel ou polling robuste dans les interfaces ;</w:t>
      </w:r>
    </w:p>
    <w:p>
      <w:pPr>
        <w:pStyle w:val="ListBullet"/>
        <w:spacing w:after="50"/>
        <w:ind w:left="312" w:hanging="102"/>
      </w:pPr>
      <w:r>
        <w:rPr>
          <w:rFonts w:ascii="Inter" w:hAnsi="Inter"/>
        </w:rPr>
        <w:t>idempotence des requêtes et des webhooks ;</w:t>
      </w:r>
    </w:p>
    <w:p>
      <w:pPr>
        <w:pStyle w:val="ListBullet"/>
        <w:spacing w:after="50"/>
        <w:ind w:left="312" w:hanging="102"/>
      </w:pPr>
      <w:r>
        <w:rPr>
          <w:rFonts w:ascii="Inter" w:hAnsi="Inter"/>
        </w:rPr>
        <w:t>reprise sur erreur et dead-letter queue ;</w:t>
      </w:r>
    </w:p>
    <w:p>
      <w:pPr>
        <w:pStyle w:val="ListBullet"/>
        <w:spacing w:after="50"/>
        <w:ind w:left="312" w:hanging="102"/>
      </w:pPr>
      <w:r>
        <w:rPr>
          <w:rFonts w:ascii="Inter" w:hAnsi="Inter"/>
        </w:rPr>
        <w:t>limites de taille, quotas et protection anti-abus sur les uploads.</w:t>
      </w:r>
    </w:p>
    <w:p>
      <w:pPr>
        <w:pStyle w:val="Heading1"/>
        <w:keepNext/>
        <w:spacing w:before="200" w:after="100"/>
      </w:pPr>
      <w:r>
        <w:rPr>
          <w:rFonts w:ascii="Inter" w:hAnsi="Inter"/>
        </w:rPr>
        <w:t>79. Observabilité et qualité</w:t>
      </w:r>
    </w:p>
    <w:p>
      <w:pPr>
        <w:pStyle w:val="ListBullet"/>
        <w:spacing w:after="50"/>
        <w:ind w:left="312" w:hanging="102"/>
      </w:pPr>
      <w:r>
        <w:rPr>
          <w:rFonts w:ascii="Inter" w:hAnsi="Inter"/>
        </w:rPr>
        <w:t>logs corrélés par requestId, userId, workflowId et documentId ;</w:t>
      </w:r>
    </w:p>
    <w:p>
      <w:pPr>
        <w:pStyle w:val="ListBullet"/>
        <w:spacing w:after="50"/>
        <w:ind w:left="312" w:hanging="102"/>
      </w:pPr>
      <w:r>
        <w:rPr>
          <w:rFonts w:ascii="Inter" w:hAnsi="Inter"/>
        </w:rPr>
        <w:t>métriques de latence, erreur, queue et coût de calcul ;</w:t>
      </w:r>
    </w:p>
    <w:p>
      <w:pPr>
        <w:pStyle w:val="ListBullet"/>
        <w:spacing w:after="50"/>
        <w:ind w:left="312" w:hanging="102"/>
      </w:pPr>
      <w:r>
        <w:rPr>
          <w:rFonts w:ascii="Inter" w:hAnsi="Inter"/>
        </w:rPr>
        <w:t>traces distribuées pour les workflows importants ;</w:t>
      </w:r>
    </w:p>
    <w:p>
      <w:pPr>
        <w:pStyle w:val="ListBullet"/>
        <w:spacing w:after="50"/>
        <w:ind w:left="312" w:hanging="102"/>
      </w:pPr>
      <w:r>
        <w:rPr>
          <w:rFonts w:ascii="Inter" w:hAnsi="Inter"/>
        </w:rPr>
        <w:t>tableaux de bord d’extraction, matching et validation ;</w:t>
      </w:r>
    </w:p>
    <w:p>
      <w:pPr>
        <w:pStyle w:val="ListBullet"/>
        <w:spacing w:after="50"/>
        <w:ind w:left="312" w:hanging="102"/>
      </w:pPr>
      <w:r>
        <w:rPr>
          <w:rFonts w:ascii="Inter" w:hAnsi="Inter"/>
        </w:rPr>
        <w:t>tests contractuels entre API et applications ;</w:t>
      </w:r>
    </w:p>
    <w:p>
      <w:pPr>
        <w:pStyle w:val="ListBullet"/>
        <w:spacing w:after="50"/>
        <w:ind w:left="312" w:hanging="102"/>
      </w:pPr>
      <w:r>
        <w:rPr>
          <w:rFonts w:ascii="Inter" w:hAnsi="Inter"/>
        </w:rPr>
        <w:t>fixtures de documents et jeux de données de référence ;</w:t>
      </w:r>
    </w:p>
    <w:p>
      <w:pPr>
        <w:pStyle w:val="ListBullet"/>
        <w:spacing w:after="50"/>
        <w:ind w:left="312" w:hanging="102"/>
      </w:pPr>
      <w:r>
        <w:rPr>
          <w:rFonts w:ascii="Inter" w:hAnsi="Inter"/>
        </w:rPr>
        <w:t>tests de non-régression des moteurs et snapshots de résultats ;</w:t>
      </w:r>
    </w:p>
    <w:p>
      <w:pPr>
        <w:pStyle w:val="ListBullet"/>
        <w:spacing w:after="50"/>
        <w:ind w:left="312" w:hanging="102"/>
      </w:pPr>
      <w:r>
        <w:rPr>
          <w:rFonts w:ascii="Inter" w:hAnsi="Inter"/>
        </w:rPr>
        <w:t>monitoring des dérives de classification et de scoring.</w:t>
      </w:r>
    </w:p>
    <w:p>
      <w:pPr>
        <w:pStyle w:val="ListBullet"/>
        <w:spacing w:after="50"/>
        <w:ind w:left="312" w:hanging="102"/>
      </w:pPr>
      <w:r>
        <w:rPr>
          <w:rFonts w:ascii="Inter" w:hAnsi="Inter"/>
        </w:rPr>
        <w:t>monitoring des erreurs et retards de synchronisation Gmail / Calendar ;</w:t>
      </w:r>
    </w:p>
    <w:p>
      <w:pPr>
        <w:pStyle w:val="ListBullet"/>
        <w:spacing w:after="50"/>
        <w:ind w:left="312" w:hanging="102"/>
      </w:pPr>
      <w:r>
        <w:rPr>
          <w:rFonts w:ascii="Inter" w:hAnsi="Inter"/>
        </w:rPr>
        <w:t>taux d’emails automatiquement rattachés, ambigus ou non classés ;</w:t>
      </w:r>
    </w:p>
    <w:p>
      <w:pPr>
        <w:pStyle w:val="ListBullet"/>
        <w:spacing w:after="50"/>
        <w:ind w:left="312" w:hanging="102"/>
      </w:pPr>
      <w:r>
        <w:rPr>
          <w:rFonts w:ascii="Inter" w:hAnsi="Inter"/>
        </w:rPr>
        <w:t>détection des opportunités et dossiers actifs sans prochaine action ;</w:t>
      </w:r>
    </w:p>
    <w:p>
      <w:pPr>
        <w:pStyle w:val="ListBullet"/>
        <w:spacing w:after="50"/>
        <w:ind w:left="312" w:hanging="102"/>
      </w:pPr>
      <w:r>
        <w:rPr>
          <w:rFonts w:ascii="Inter" w:hAnsi="Inter"/>
        </w:rPr>
        <w:t>mesure des écarts entre forecast pondéré, revenus signés et revenus réellement encaissés.</w:t>
      </w:r>
    </w:p>
    <w:p>
      <w:pPr>
        <w:pStyle w:val="Heading2"/>
        <w:spacing w:before="160" w:after="80"/>
      </w:pPr>
      <w:r>
        <w:t>79.1 Observabilité du copilote IA</w:t>
      </w:r>
    </w:p>
    <w:p>
      <w:pPr>
        <w:pStyle w:val="ListBullet"/>
      </w:pPr>
      <w:r>
        <w:t>latence, coût, taux de succès et taux de reprise par type de commande IA ;</w:t>
      </w:r>
    </w:p>
    <w:p>
      <w:pPr>
        <w:pStyle w:val="ListBullet"/>
      </w:pPr>
      <w:r>
        <w:t>part des réponses fondées sur des objets vérifiables et taux de liens internes valides ;</w:t>
      </w:r>
    </w:p>
    <w:p>
      <w:pPr>
        <w:pStyle w:val="ListBullet"/>
      </w:pPr>
      <w:r>
        <w:t>taux d’actions proposées, confirmées, refusées, annulées, corrigées ou échouées ;</w:t>
      </w:r>
    </w:p>
    <w:p>
      <w:pPr>
        <w:pStyle w:val="ListBullet"/>
      </w:pPr>
      <w:r>
        <w:t>précision du rattachement contextuel et des extractions de pièces jointes déposées dans le chat ;</w:t>
      </w:r>
    </w:p>
    <w:p>
      <w:pPr>
        <w:pStyle w:val="ListBullet"/>
      </w:pPr>
      <w:r>
        <w:t>usage de la dictée et des commandes vocales, corrections de transcription et langues utilisées ;</w:t>
      </w:r>
    </w:p>
    <w:p>
      <w:pPr>
        <w:pStyle w:val="ListBullet"/>
      </w:pPr>
      <w:r>
        <w:t>détection des tentatives d’injection, appels d’outils bloqués et violations de permissions évitées.</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IX</w:t>
            </w:r>
          </w:p>
          <w:p>
            <w:pPr>
              <w:spacing w:after="0"/>
            </w:pPr>
            <w:r>
              <w:rPr>
                <w:rFonts w:ascii="Inter" w:hAnsi="Inter"/>
                <w:color w:val="E7E8FF"/>
                <w:sz w:val="20"/>
              </w:rPr>
              <w:t>Workflows de bout en bout et interactions</w:t>
            </w:r>
          </w:p>
        </w:tc>
      </w:tr>
    </w:tbl>
    <w:p>
      <w:pPr>
        <w:spacing w:after="0"/>
      </w:pPr>
    </w:p>
    <w:p>
      <w:pPr>
        <w:pStyle w:val="Heading2"/>
        <w:spacing w:before="160" w:after="80"/>
      </w:pPr>
      <w:r>
        <w:t>79.2 Observabilité de l’assistant client et de la fidélité</w:t>
      </w:r>
    </w:p>
    <w:p>
      <w:pPr>
        <w:pStyle w:val="ListBullet"/>
      </w:pPr>
      <w:r>
        <w:t>taux de réponses avec sources valides, nombre moyen de clauses citées et taux de réponses nécessitant une escalade ;</w:t>
      </w:r>
    </w:p>
    <w:p>
      <w:pPr>
        <w:pStyle w:val="ListBullet"/>
      </w:pPr>
      <w:r>
        <w:t>taux de questions résolues sans contact, satisfaction après réponse et temps jusqu’à la prochaine action ;</w:t>
      </w:r>
    </w:p>
    <w:p>
      <w:pPr>
        <w:pStyle w:val="ListBullet"/>
      </w:pPr>
      <w:r>
        <w:t>cas où une réponse humaine modifie substantiellement la conclusion automatique ;</w:t>
      </w:r>
    </w:p>
    <w:p>
      <w:pPr>
        <w:pStyle w:val="ListBullet"/>
      </w:pPr>
      <w:r>
        <w:t>cartes émises, actives, suspendues ou révoquées et erreurs de mise à jour des pass ;</w:t>
      </w:r>
    </w:p>
    <w:p>
      <w:pPr>
        <w:pStyle w:val="ListBullet"/>
      </w:pPr>
      <w:r>
        <w:t>Miles créés, pending, disponibles, expirés, reversés et consommés, avec rapprochement du solde ;</w:t>
      </w:r>
    </w:p>
    <w:p>
      <w:pPr>
        <w:pStyle w:val="ListBullet"/>
      </w:pPr>
      <w:r>
        <w:t>taux de redemption, coût, stock, responsabilité en circulation, fraudes détectées et anomalies de partenaire ;</w:t>
      </w:r>
    </w:p>
    <w:p>
      <w:pPr>
        <w:pStyle w:val="ListBullet"/>
      </w:pPr>
      <w:r>
        <w:t>corrélation entre usage du chat, carte, Miles, Wallet et rétention, sans confondre corrélation et causalité.</w:t>
      </w:r>
    </w:p>
    <w:p>
      <w:pPr>
        <w:pStyle w:val="Heading1"/>
        <w:keepNext/>
        <w:spacing w:before="200" w:after="100"/>
      </w:pPr>
      <w:r>
        <w:rPr>
          <w:rFonts w:ascii="Inter" w:hAnsi="Inter"/>
        </w:rPr>
        <w:t>80. Workflow A - Analyse 3P anonyme vers Wallet</w:t>
      </w:r>
    </w:p>
    <w:p>
      <w:pPr>
        <w:spacing w:after="60"/>
        <w:ind w:left="312" w:hanging="238"/>
      </w:pPr>
      <w:r>
        <w:rPr>
          <w:rFonts w:ascii="Inter" w:hAnsi="Inter"/>
          <w:b/>
          <w:color w:val="6D4AFF"/>
        </w:rPr>
        <w:t xml:space="preserve">1. </w:t>
      </w:r>
      <w:r>
        <w:rPr>
          <w:rFonts w:ascii="Inter" w:hAnsi="Inter"/>
        </w:rPr>
        <w:t>Le visiteur arrive par Home, contenu, recherche ou partage.</w:t>
      </w:r>
    </w:p>
    <w:p>
      <w:pPr>
        <w:spacing w:after="60"/>
        <w:ind w:left="312" w:hanging="238"/>
      </w:pPr>
      <w:r>
        <w:rPr>
          <w:rFonts w:ascii="Inter" w:hAnsi="Inter"/>
          <w:b/>
          <w:color w:val="6D4AFF"/>
        </w:rPr>
        <w:t xml:space="preserve">2. </w:t>
      </w:r>
      <w:r>
        <w:rPr>
          <w:rFonts w:ascii="Inter" w:hAnsi="Inter"/>
        </w:rPr>
        <w:t>Il upload un document ou choisit un produit manuellement.</w:t>
      </w:r>
    </w:p>
    <w:p>
      <w:pPr>
        <w:spacing w:after="60"/>
        <w:ind w:left="312" w:hanging="238"/>
      </w:pPr>
      <w:r>
        <w:rPr>
          <w:rFonts w:ascii="Inter" w:hAnsi="Inter"/>
          <w:b/>
          <w:color w:val="6D4AFF"/>
        </w:rPr>
        <w:t xml:space="preserve">3. </w:t>
      </w:r>
      <w:r>
        <w:rPr>
          <w:rFonts w:ascii="Inter" w:hAnsi="Inter"/>
        </w:rPr>
        <w:t>Le document est stocké, scanné, classifié et extrait.</w:t>
      </w:r>
    </w:p>
    <w:p>
      <w:pPr>
        <w:spacing w:after="60"/>
        <w:ind w:left="312" w:hanging="238"/>
      </w:pPr>
      <w:r>
        <w:rPr>
          <w:rFonts w:ascii="Inter" w:hAnsi="Inter"/>
          <w:b/>
          <w:color w:val="6D4AFF"/>
        </w:rPr>
        <w:t xml:space="preserve">4. </w:t>
      </w:r>
      <w:r>
        <w:rPr>
          <w:rFonts w:ascii="Inter" w:hAnsi="Inter"/>
        </w:rPr>
        <w:t>Pendant le traitement, le Prediction Game maintient l’engagement.</w:t>
      </w:r>
    </w:p>
    <w:p>
      <w:pPr>
        <w:spacing w:after="60"/>
        <w:ind w:left="312" w:hanging="238"/>
      </w:pPr>
      <w:r>
        <w:rPr>
          <w:rFonts w:ascii="Inter" w:hAnsi="Inter"/>
          <w:b/>
          <w:color w:val="6D4AFF"/>
        </w:rPr>
        <w:t xml:space="preserve">5. </w:t>
      </w:r>
      <w:r>
        <w:rPr>
          <w:rFonts w:ascii="Inter" w:hAnsi="Inter"/>
        </w:rPr>
        <w:t>Les moteurs produisent Score, Investment Age, DNA et premiers constats.</w:t>
      </w:r>
    </w:p>
    <w:p>
      <w:pPr>
        <w:spacing w:after="60"/>
        <w:ind w:left="312" w:hanging="238"/>
      </w:pPr>
      <w:r>
        <w:rPr>
          <w:rFonts w:ascii="Inter" w:hAnsi="Inter"/>
          <w:b/>
          <w:color w:val="6D4AFF"/>
        </w:rPr>
        <w:t xml:space="preserve">6. </w:t>
      </w:r>
      <w:r>
        <w:rPr>
          <w:rFonts w:ascii="Inter" w:hAnsi="Inter"/>
        </w:rPr>
        <w:t>Le calcul retraite ajoute inflation, Goal Probability et Target Age.</w:t>
      </w:r>
    </w:p>
    <w:p>
      <w:pPr>
        <w:spacing w:after="60"/>
        <w:ind w:left="312" w:hanging="238"/>
      </w:pPr>
      <w:r>
        <w:rPr>
          <w:rFonts w:ascii="Inter" w:hAnsi="Inter"/>
          <w:b/>
          <w:color w:val="6D4AFF"/>
        </w:rPr>
        <w:t xml:space="preserve">7. </w:t>
      </w:r>
      <w:r>
        <w:rPr>
          <w:rFonts w:ascii="Inter" w:hAnsi="Inter"/>
        </w:rPr>
        <w:t>Le Reveal puis la page scrollable présentent les résultats.</w:t>
      </w:r>
    </w:p>
    <w:p>
      <w:pPr>
        <w:spacing w:after="60"/>
        <w:ind w:left="312" w:hanging="238"/>
      </w:pPr>
      <w:r>
        <w:rPr>
          <w:rFonts w:ascii="Inter" w:hAnsi="Inter"/>
          <w:b/>
          <w:color w:val="6D4AFF"/>
        </w:rPr>
        <w:t xml:space="preserve">8. </w:t>
      </w:r>
      <w:r>
        <w:rPr>
          <w:rFonts w:ascii="Inter" w:hAnsi="Inter"/>
        </w:rPr>
        <w:t>L’utilisateur compare ou modifie les paramètres.</w:t>
      </w:r>
    </w:p>
    <w:p>
      <w:pPr>
        <w:spacing w:after="60"/>
        <w:ind w:left="312" w:hanging="238"/>
      </w:pPr>
      <w:r>
        <w:rPr>
          <w:rFonts w:ascii="Inter" w:hAnsi="Inter"/>
          <w:b/>
          <w:color w:val="6D4AFF"/>
        </w:rPr>
        <w:t xml:space="preserve">9. </w:t>
      </w:r>
      <w:r>
        <w:rPr>
          <w:rFonts w:ascii="Inter" w:hAnsi="Inter"/>
        </w:rPr>
        <w:t>Lorsqu’il sauvegarde, la session anonyme est rattachée au compte.</w:t>
      </w:r>
    </w:p>
    <w:p>
      <w:pPr>
        <w:spacing w:after="60"/>
        <w:ind w:left="312" w:hanging="238"/>
      </w:pPr>
      <w:r>
        <w:rPr>
          <w:rFonts w:ascii="Inter" w:hAnsi="Inter"/>
          <w:b/>
          <w:color w:val="6D4AFF"/>
        </w:rPr>
        <w:t xml:space="preserve">10. </w:t>
      </w:r>
      <w:r>
        <w:rPr>
          <w:rFonts w:ascii="Inter" w:hAnsi="Inter"/>
        </w:rPr>
        <w:t>Wallet s’ouvre avec le dossier complet et l’analyse versionnée.</w:t>
      </w:r>
    </w:p>
    <w:p>
      <w:pPr>
        <w:spacing w:after="60"/>
        <w:ind w:left="312" w:hanging="238"/>
      </w:pPr>
      <w:r>
        <w:rPr>
          <w:rFonts w:ascii="Inter" w:hAnsi="Inter"/>
          <w:b/>
          <w:color w:val="6D4AFF"/>
        </w:rPr>
        <w:t xml:space="preserve">11. </w:t>
      </w:r>
      <w:r>
        <w:rPr>
          <w:rFonts w:ascii="Inter" w:hAnsi="Inter"/>
        </w:rPr>
        <w:t>Une validation experte peut être demandée.</w:t>
      </w:r>
    </w:p>
    <w:p>
      <w:pPr>
        <w:spacing w:after="60"/>
        <w:ind w:left="312" w:hanging="238"/>
      </w:pPr>
      <w:r>
        <w:rPr>
          <w:rFonts w:ascii="Inter" w:hAnsi="Inter"/>
          <w:b/>
          <w:color w:val="6D4AFF"/>
        </w:rPr>
        <w:t xml:space="preserve">12. </w:t>
      </w:r>
      <w:r>
        <w:rPr>
          <w:rFonts w:ascii="Inter" w:hAnsi="Inter"/>
        </w:rPr>
        <w:t>La stratégie entre ensuite dans le monitoring et la revue annuelle.</w:t>
      </w:r>
    </w:p>
    <w:p>
      <w:pPr>
        <w:pStyle w:val="Heading1"/>
        <w:keepNext/>
        <w:spacing w:before="200" w:after="100"/>
      </w:pPr>
      <w:r>
        <w:rPr>
          <w:rFonts w:ascii="Inter" w:hAnsi="Inter"/>
        </w:rPr>
        <w:t>81. Workflow B - Récupération de contrats</w:t>
      </w:r>
    </w:p>
    <w:p>
      <w:pPr>
        <w:spacing w:after="60"/>
        <w:ind w:left="312" w:hanging="238"/>
      </w:pPr>
      <w:r>
        <w:rPr>
          <w:rFonts w:ascii="Inter" w:hAnsi="Inter"/>
          <w:b/>
          <w:color w:val="6D4AFF"/>
        </w:rPr>
        <w:t xml:space="preserve">1. </w:t>
      </w:r>
      <w:r>
        <w:rPr>
          <w:rFonts w:ascii="Inter" w:hAnsi="Inter"/>
        </w:rPr>
        <w:t>Le client indique les compagnies connues.</w:t>
      </w:r>
    </w:p>
    <w:p>
      <w:pPr>
        <w:spacing w:after="60"/>
        <w:ind w:left="312" w:hanging="238"/>
      </w:pPr>
      <w:r>
        <w:rPr>
          <w:rFonts w:ascii="Inter" w:hAnsi="Inter"/>
          <w:b/>
          <w:color w:val="6D4AFF"/>
        </w:rPr>
        <w:t xml:space="preserve">2. </w:t>
      </w:r>
      <w:r>
        <w:rPr>
          <w:rFonts w:ascii="Inter" w:hAnsi="Inter"/>
        </w:rPr>
        <w:t>Le système préremplit son identité et génère la procuration.</w:t>
      </w:r>
    </w:p>
    <w:p>
      <w:pPr>
        <w:spacing w:after="60"/>
        <w:ind w:left="312" w:hanging="238"/>
      </w:pPr>
      <w:r>
        <w:rPr>
          <w:rFonts w:ascii="Inter" w:hAnsi="Inter"/>
          <w:b/>
          <w:color w:val="6D4AFF"/>
        </w:rPr>
        <w:t xml:space="preserve">3. </w:t>
      </w:r>
      <w:r>
        <w:rPr>
          <w:rFonts w:ascii="Inter" w:hAnsi="Inter"/>
        </w:rPr>
        <w:t>Le client vérifie et signe.</w:t>
      </w:r>
    </w:p>
    <w:p>
      <w:pPr>
        <w:spacing w:after="60"/>
        <w:ind w:left="312" w:hanging="238"/>
      </w:pPr>
      <w:r>
        <w:rPr>
          <w:rFonts w:ascii="Inter" w:hAnsi="Inter"/>
          <w:b/>
          <w:color w:val="6D4AFF"/>
        </w:rPr>
        <w:t xml:space="preserve">4. </w:t>
      </w:r>
      <w:r>
        <w:rPr>
          <w:rFonts w:ascii="Inter" w:hAnsi="Inter"/>
        </w:rPr>
        <w:t>Une demande avec référence unique est créée par compagnie.</w:t>
      </w:r>
    </w:p>
    <w:p>
      <w:pPr>
        <w:spacing w:after="60"/>
        <w:ind w:left="312" w:hanging="238"/>
      </w:pPr>
      <w:r>
        <w:rPr>
          <w:rFonts w:ascii="Inter" w:hAnsi="Inter"/>
          <w:b/>
          <w:color w:val="6D4AFF"/>
        </w:rPr>
        <w:t xml:space="preserve">5. </w:t>
      </w:r>
      <w:r>
        <w:rPr>
          <w:rFonts w:ascii="Inter" w:hAnsi="Inter"/>
        </w:rPr>
        <w:t>Les emails sont envoyés et les timers de relance démarrent.</w:t>
      </w:r>
    </w:p>
    <w:p>
      <w:pPr>
        <w:spacing w:after="60"/>
        <w:ind w:left="312" w:hanging="238"/>
      </w:pPr>
      <w:r>
        <w:rPr>
          <w:rFonts w:ascii="Inter" w:hAnsi="Inter"/>
          <w:b/>
          <w:color w:val="6D4AFF"/>
        </w:rPr>
        <w:t xml:space="preserve">6. </w:t>
      </w:r>
      <w:r>
        <w:rPr>
          <w:rFonts w:ascii="Inter" w:hAnsi="Inter"/>
        </w:rPr>
        <w:t>Les réponses entrantes sont rapprochées au dossier.</w:t>
      </w:r>
    </w:p>
    <w:p>
      <w:pPr>
        <w:spacing w:after="60"/>
        <w:ind w:left="312" w:hanging="238"/>
      </w:pPr>
      <w:r>
        <w:rPr>
          <w:rFonts w:ascii="Inter" w:hAnsi="Inter"/>
          <w:b/>
          <w:color w:val="6D4AFF"/>
        </w:rPr>
        <w:t xml:space="preserve">7. </w:t>
      </w:r>
      <w:r>
        <w:rPr>
          <w:rFonts w:ascii="Inter" w:hAnsi="Inter"/>
        </w:rPr>
        <w:t>Les pièces jointes sont classifiées et extraites.</w:t>
      </w:r>
    </w:p>
    <w:p>
      <w:pPr>
        <w:spacing w:after="60"/>
        <w:ind w:left="312" w:hanging="238"/>
      </w:pPr>
      <w:r>
        <w:rPr>
          <w:rFonts w:ascii="Inter" w:hAnsi="Inter"/>
          <w:b/>
          <w:color w:val="6D4AFF"/>
        </w:rPr>
        <w:t xml:space="preserve">8. </w:t>
      </w:r>
      <w:r>
        <w:rPr>
          <w:rFonts w:ascii="Inter" w:hAnsi="Inter"/>
        </w:rPr>
        <w:t>Chaque police est liée à un produit canonique lorsque possible.</w:t>
      </w:r>
    </w:p>
    <w:p>
      <w:pPr>
        <w:spacing w:after="60"/>
        <w:ind w:left="312" w:hanging="238"/>
      </w:pPr>
      <w:r>
        <w:rPr>
          <w:rFonts w:ascii="Inter" w:hAnsi="Inter"/>
          <w:b/>
          <w:color w:val="6D4AFF"/>
        </w:rPr>
        <w:t xml:space="preserve">9. </w:t>
      </w:r>
      <w:r>
        <w:rPr>
          <w:rFonts w:ascii="Inter" w:hAnsi="Inter"/>
        </w:rPr>
        <w:t>Les contrats apparaissent progressivement dans Wallet.</w:t>
      </w:r>
    </w:p>
    <w:p>
      <w:pPr>
        <w:spacing w:after="60"/>
        <w:ind w:left="312" w:hanging="238"/>
      </w:pPr>
      <w:r>
        <w:rPr>
          <w:rFonts w:ascii="Inter" w:hAnsi="Inter"/>
          <w:b/>
          <w:color w:val="6D4AFF"/>
        </w:rPr>
        <w:t xml:space="preserve">10. </w:t>
      </w:r>
      <w:r>
        <w:rPr>
          <w:rFonts w:ascii="Inter" w:hAnsi="Inter"/>
        </w:rPr>
        <w:t>Les moteurs lancent l’audit sur les données suffisantes.</w:t>
      </w:r>
    </w:p>
    <w:p>
      <w:pPr>
        <w:spacing w:after="60"/>
        <w:ind w:left="312" w:hanging="238"/>
      </w:pPr>
      <w:r>
        <w:rPr>
          <w:rFonts w:ascii="Inter" w:hAnsi="Inter"/>
          <w:b/>
          <w:color w:val="6D4AFF"/>
        </w:rPr>
        <w:t xml:space="preserve">11. </w:t>
      </w:r>
      <w:r>
        <w:rPr>
          <w:rFonts w:ascii="Inter" w:hAnsi="Inter"/>
        </w:rPr>
        <w:t>Admin traite les exceptions.</w:t>
      </w:r>
    </w:p>
    <w:p>
      <w:pPr>
        <w:spacing w:after="60"/>
        <w:ind w:left="312" w:hanging="238"/>
      </w:pPr>
      <w:r>
        <w:rPr>
          <w:rFonts w:ascii="Inter" w:hAnsi="Inter"/>
          <w:b/>
          <w:color w:val="6D4AFF"/>
        </w:rPr>
        <w:t xml:space="preserve">12. </w:t>
      </w:r>
      <w:r>
        <w:rPr>
          <w:rFonts w:ascii="Inter" w:hAnsi="Inter"/>
        </w:rPr>
        <w:t>Le client reçoit le résultat et les actions possibles.</w:t>
      </w:r>
    </w:p>
    <w:p>
      <w:pPr>
        <w:pStyle w:val="Heading1"/>
        <w:keepNext/>
        <w:spacing w:before="200" w:after="100"/>
      </w:pPr>
      <w:r>
        <w:rPr>
          <w:rFonts w:ascii="Inter" w:hAnsi="Inter"/>
        </w:rPr>
        <w:t>82. Workflow C - Recherche LPP</w:t>
      </w:r>
    </w:p>
    <w:p>
      <w:pPr>
        <w:spacing w:after="60"/>
        <w:ind w:left="312" w:hanging="238"/>
      </w:pPr>
      <w:r>
        <w:rPr>
          <w:rFonts w:ascii="Inter" w:hAnsi="Inter"/>
          <w:b/>
          <w:color w:val="6D4AFF"/>
        </w:rPr>
        <w:t xml:space="preserve">1. </w:t>
      </w:r>
      <w:r>
        <w:rPr>
          <w:rFonts w:ascii="Inter" w:hAnsi="Inter"/>
        </w:rPr>
        <w:t>Le visiteur démarre sur le site ou Wallet.</w:t>
      </w:r>
    </w:p>
    <w:p>
      <w:pPr>
        <w:spacing w:after="60"/>
        <w:ind w:left="312" w:hanging="238"/>
      </w:pPr>
      <w:r>
        <w:rPr>
          <w:rFonts w:ascii="Inter" w:hAnsi="Inter"/>
          <w:b/>
          <w:color w:val="6D4AFF"/>
        </w:rPr>
        <w:t xml:space="preserve">2. </w:t>
      </w:r>
      <w:r>
        <w:rPr>
          <w:rFonts w:ascii="Inter" w:hAnsi="Inter"/>
        </w:rPr>
        <w:t>Le profil est prérempli et les informations manquantes sont demandées.</w:t>
      </w:r>
    </w:p>
    <w:p>
      <w:pPr>
        <w:spacing w:after="60"/>
        <w:ind w:left="312" w:hanging="238"/>
      </w:pPr>
      <w:r>
        <w:rPr>
          <w:rFonts w:ascii="Inter" w:hAnsi="Inter"/>
          <w:b/>
          <w:color w:val="6D4AFF"/>
        </w:rPr>
        <w:t xml:space="preserve">3. </w:t>
      </w:r>
      <w:r>
        <w:rPr>
          <w:rFonts w:ascii="Inter" w:hAnsi="Inter"/>
        </w:rPr>
        <w:t>Les autorisations nécessaires sont générées et signées.</w:t>
      </w:r>
    </w:p>
    <w:p>
      <w:pPr>
        <w:spacing w:after="60"/>
        <w:ind w:left="312" w:hanging="238"/>
      </w:pPr>
      <w:r>
        <w:rPr>
          <w:rFonts w:ascii="Inter" w:hAnsi="Inter"/>
          <w:b/>
          <w:color w:val="6D4AFF"/>
        </w:rPr>
        <w:t xml:space="preserve">4. </w:t>
      </w:r>
      <w:r>
        <w:rPr>
          <w:rFonts w:ascii="Inter" w:hAnsi="Inter"/>
        </w:rPr>
        <w:t>Un LppSearchRequest persistant est créé.</w:t>
      </w:r>
    </w:p>
    <w:p>
      <w:pPr>
        <w:spacing w:after="60"/>
        <w:ind w:left="312" w:hanging="238"/>
      </w:pPr>
      <w:r>
        <w:rPr>
          <w:rFonts w:ascii="Inter" w:hAnsi="Inter"/>
          <w:b/>
          <w:color w:val="6D4AFF"/>
        </w:rPr>
        <w:t xml:space="preserve">5. </w:t>
      </w:r>
      <w:r>
        <w:rPr>
          <w:rFonts w:ascii="Inter" w:hAnsi="Inter"/>
        </w:rPr>
        <w:t>Admin ou le workflow envoie la demande vers les organismes appropriés.</w:t>
      </w:r>
    </w:p>
    <w:p>
      <w:pPr>
        <w:spacing w:after="60"/>
        <w:ind w:left="312" w:hanging="238"/>
      </w:pPr>
      <w:r>
        <w:rPr>
          <w:rFonts w:ascii="Inter" w:hAnsi="Inter"/>
          <w:b/>
          <w:color w:val="6D4AFF"/>
        </w:rPr>
        <w:t xml:space="preserve">6. </w:t>
      </w:r>
      <w:r>
        <w:rPr>
          <w:rFonts w:ascii="Inter" w:hAnsi="Inter"/>
        </w:rPr>
        <w:t>Wallet affiche l’avancement et les éventuels éléments manquants.</w:t>
      </w:r>
    </w:p>
    <w:p>
      <w:pPr>
        <w:spacing w:after="60"/>
        <w:ind w:left="312" w:hanging="238"/>
      </w:pPr>
      <w:r>
        <w:rPr>
          <w:rFonts w:ascii="Inter" w:hAnsi="Inter"/>
          <w:b/>
          <w:color w:val="6D4AFF"/>
        </w:rPr>
        <w:t xml:space="preserve">7. </w:t>
      </w:r>
      <w:r>
        <w:rPr>
          <w:rFonts w:ascii="Inter" w:hAnsi="Inter"/>
        </w:rPr>
        <w:t>La réponse est importée et structurée.</w:t>
      </w:r>
    </w:p>
    <w:p>
      <w:pPr>
        <w:spacing w:after="60"/>
        <w:ind w:left="312" w:hanging="238"/>
      </w:pPr>
      <w:r>
        <w:rPr>
          <w:rFonts w:ascii="Inter" w:hAnsi="Inter"/>
          <w:b/>
          <w:color w:val="6D4AFF"/>
        </w:rPr>
        <w:t xml:space="preserve">8. </w:t>
      </w:r>
      <w:r>
        <w:rPr>
          <w:rFonts w:ascii="Inter" w:hAnsi="Inter"/>
        </w:rPr>
        <w:t>Les avoirs identifiés sont présentés avec les prochaines options.</w:t>
      </w:r>
    </w:p>
    <w:p>
      <w:pPr>
        <w:spacing w:after="60"/>
        <w:ind w:left="312" w:hanging="238"/>
      </w:pPr>
      <w:r>
        <w:rPr>
          <w:rFonts w:ascii="Inter" w:hAnsi="Inter"/>
          <w:b/>
          <w:color w:val="6D4AFF"/>
        </w:rPr>
        <w:t xml:space="preserve">9. </w:t>
      </w:r>
      <w:r>
        <w:rPr>
          <w:rFonts w:ascii="Inter" w:hAnsi="Inter"/>
        </w:rPr>
        <w:t>Le dossier peut déboucher sur une analyse de libre passage ou de retraite.</w:t>
      </w:r>
    </w:p>
    <w:p>
      <w:pPr>
        <w:pStyle w:val="Heading1"/>
        <w:keepNext/>
        <w:spacing w:before="200" w:after="100"/>
      </w:pPr>
      <w:r>
        <w:rPr>
          <w:rFonts w:ascii="Inter" w:hAnsi="Inter"/>
        </w:rPr>
        <w:t>83. Workflow D - Mise à jour d’un produit dans Admin</w:t>
      </w:r>
    </w:p>
    <w:p>
      <w:pPr>
        <w:spacing w:after="60"/>
        <w:ind w:left="312" w:hanging="238"/>
      </w:pPr>
      <w:r>
        <w:rPr>
          <w:rFonts w:ascii="Inter" w:hAnsi="Inter"/>
          <w:b/>
          <w:color w:val="6D4AFF"/>
        </w:rPr>
        <w:t xml:space="preserve">1. </w:t>
      </w:r>
      <w:r>
        <w:rPr>
          <w:rFonts w:ascii="Inter" w:hAnsi="Inter"/>
        </w:rPr>
        <w:t>Un produit est pré-créé en DRAFT.</w:t>
      </w:r>
    </w:p>
    <w:p>
      <w:pPr>
        <w:spacing w:after="60"/>
        <w:ind w:left="312" w:hanging="238"/>
      </w:pPr>
      <w:r>
        <w:rPr>
          <w:rFonts w:ascii="Inter" w:hAnsi="Inter"/>
          <w:b/>
          <w:color w:val="6D4AFF"/>
        </w:rPr>
        <w:t xml:space="preserve">2. </w:t>
      </w:r>
      <w:r>
        <w:rPr>
          <w:rFonts w:ascii="Inter" w:hAnsi="Inter"/>
        </w:rPr>
        <w:t>Les caractéristiques, frais, fonds, garanties et sources sont ajoutés.</w:t>
      </w:r>
    </w:p>
    <w:p>
      <w:pPr>
        <w:spacing w:after="60"/>
        <w:ind w:left="312" w:hanging="238"/>
      </w:pPr>
      <w:r>
        <w:rPr>
          <w:rFonts w:ascii="Inter" w:hAnsi="Inter"/>
          <w:b/>
          <w:color w:val="6D4AFF"/>
        </w:rPr>
        <w:t xml:space="preserve">3. </w:t>
      </w:r>
      <w:r>
        <w:rPr>
          <w:rFonts w:ascii="Inter" w:hAnsi="Inter"/>
        </w:rPr>
        <w:t>Les valeurs datées sont contrôlées et passent en IN_REVIEW.</w:t>
      </w:r>
    </w:p>
    <w:p>
      <w:pPr>
        <w:spacing w:after="60"/>
        <w:ind w:left="312" w:hanging="238"/>
      </w:pPr>
      <w:r>
        <w:rPr>
          <w:rFonts w:ascii="Inter" w:hAnsi="Inter"/>
          <w:b/>
          <w:color w:val="6D4AFF"/>
        </w:rPr>
        <w:t xml:space="preserve">4. </w:t>
      </w:r>
      <w:r>
        <w:rPr>
          <w:rFonts w:ascii="Inter" w:hAnsi="Inter"/>
        </w:rPr>
        <w:t>La donnée est vérifiée puis PUBLISHED selon les surfaces autorisées.</w:t>
      </w:r>
    </w:p>
    <w:p>
      <w:pPr>
        <w:spacing w:after="60"/>
        <w:ind w:left="312" w:hanging="238"/>
      </w:pPr>
      <w:r>
        <w:rPr>
          <w:rFonts w:ascii="Inter" w:hAnsi="Inter"/>
          <w:b/>
          <w:color w:val="6D4AFF"/>
        </w:rPr>
        <w:t xml:space="preserve">5. </w:t>
      </w:r>
      <w:r>
        <w:rPr>
          <w:rFonts w:ascii="Inter" w:hAnsi="Inter"/>
        </w:rPr>
        <w:t>Le site et Intelligence lisent immédiatement la nouvelle version publiée.</w:t>
      </w:r>
    </w:p>
    <w:p>
      <w:pPr>
        <w:spacing w:after="60"/>
        <w:ind w:left="312" w:hanging="238"/>
      </w:pPr>
      <w:r>
        <w:rPr>
          <w:rFonts w:ascii="Inter" w:hAnsi="Inter"/>
          <w:b/>
          <w:color w:val="6D4AFF"/>
        </w:rPr>
        <w:t xml:space="preserve">6. </w:t>
      </w:r>
      <w:r>
        <w:rPr>
          <w:rFonts w:ascii="Inter" w:hAnsi="Inter"/>
        </w:rPr>
        <w:t>Wallet utilise cette version pour les nouveaux audits de contrats liés.</w:t>
      </w:r>
    </w:p>
    <w:p>
      <w:pPr>
        <w:spacing w:after="60"/>
        <w:ind w:left="312" w:hanging="238"/>
      </w:pPr>
      <w:r>
        <w:rPr>
          <w:rFonts w:ascii="Inter" w:hAnsi="Inter"/>
          <w:b/>
          <w:color w:val="6D4AFF"/>
        </w:rPr>
        <w:t xml:space="preserve">7. </w:t>
      </w:r>
      <w:r>
        <w:rPr>
          <w:rFonts w:ascii="Inter" w:hAnsi="Inter"/>
        </w:rPr>
        <w:t>Les analyses historiques conservent leur snapshot précédent.</w:t>
      </w:r>
    </w:p>
    <w:p>
      <w:pPr>
        <w:spacing w:after="60"/>
        <w:ind w:left="312" w:hanging="238"/>
      </w:pPr>
      <w:r>
        <w:rPr>
          <w:rFonts w:ascii="Inter" w:hAnsi="Inter"/>
          <w:b/>
          <w:color w:val="6D4AFF"/>
        </w:rPr>
        <w:t xml:space="preserve">8. </w:t>
      </w:r>
      <w:r>
        <w:rPr>
          <w:rFonts w:ascii="Inter" w:hAnsi="Inter"/>
        </w:rPr>
        <w:t>Une correction ultérieure crée une nouvelle période ou version plutôt qu’un écrasement sans trace.</w:t>
      </w:r>
    </w:p>
    <w:p>
      <w:pPr>
        <w:pStyle w:val="Heading1"/>
        <w:keepNext/>
        <w:spacing w:before="200" w:after="100"/>
      </w:pPr>
      <w:r>
        <w:t>84. Workflow E - Lead, suivi commercial et commission partenaire</w:t>
      </w:r>
    </w:p>
    <w:p>
      <w:pPr>
        <w:spacing w:after="60"/>
        <w:ind w:left="312" w:hanging="238"/>
      </w:pPr>
      <w:r>
        <w:t>1. Le lead entre manuellement, depuis le site, Wallet, Partners, un email, une recommandation ou un import.</w:t>
      </w:r>
    </w:p>
    <w:p>
      <w:pPr>
        <w:spacing w:after="60"/>
        <w:ind w:left="312" w:hanging="238"/>
      </w:pPr>
      <w:r>
        <w:t>2. Le système recherche les doublons, conserve la source, attribue un responsable et crée l’opportunité appropriée.</w:t>
      </w:r>
    </w:p>
    <w:p>
      <w:pPr>
        <w:spacing w:after="60"/>
        <w:ind w:left="312" w:hanging="238"/>
      </w:pPr>
      <w:r>
        <w:t>3. L’opportunité reçoit une étape, une probabilité, un revenu estimé, une date de décision et une prochaine action.</w:t>
      </w:r>
    </w:p>
    <w:p>
      <w:pPr>
        <w:spacing w:after="60"/>
        <w:ind w:left="312" w:hanging="238"/>
      </w:pPr>
      <w:r>
        <w:t>4. Une tâche de prise de contact ou un rendez-vous Google Calendar est créé et relié au dossier.</w:t>
      </w:r>
    </w:p>
    <w:p>
      <w:pPr>
        <w:spacing w:after="60"/>
        <w:ind w:left="312" w:hanging="238"/>
      </w:pPr>
      <w:r>
        <w:t>5. Les emails, appels, réunions, notes et documents alimentent automatiquement la timeline du lead puis du client.</w:t>
      </w:r>
    </w:p>
    <w:p>
      <w:pPr>
        <w:spacing w:after="60"/>
        <w:ind w:left="312" w:hanging="238"/>
      </w:pPr>
      <w:r>
        <w:t>6. Après chaque interaction, le résultat, l’étape, la probabilité et la prochaine action sont mis à jour.</w:t>
      </w:r>
    </w:p>
    <w:p>
      <w:pPr>
        <w:spacing w:after="60"/>
        <w:ind w:left="312" w:hanging="238"/>
      </w:pPr>
      <w:r>
        <w:t>7. Admin signale les leads sans activité, les tâches en retard, les rendez-vous sans compte rendu et les dossiers bloqués.</w:t>
      </w:r>
    </w:p>
    <w:p>
      <w:pPr>
        <w:spacing w:after="60"/>
        <w:ind w:left="312" w:hanging="238"/>
      </w:pPr>
      <w:r>
        <w:t>8. Les dashboards recalculent le pipeline brut, le pipeline pondéré et les revenus attendus par période.</w:t>
      </w:r>
    </w:p>
    <w:p>
      <w:pPr/>
      <w:r>
        <w:t>9. La conversion transforme l’opportunité en gagnée, rattache ou crée le client et ouvre les projets d’exécution nécessaires.</w:t>
      </w:r>
    </w:p>
    <w:p>
      <w:pPr/>
      <w:r>
        <w:t>10. Les revenus estimés sont progressivement remplacés par les commissions acquises, dues, facturées ou encaissées selon leur statut.</w:t>
      </w:r>
    </w:p>
    <w:p>
      <w:pPr/>
      <w:r>
        <w:t>11. Si le lead provient d’un partenaire, Partners reçoit uniquement les statuts autorisés et la commission est calculée puis suivie.</w:t>
      </w:r>
    </w:p>
    <w:p>
      <w:pPr/>
      <w:r>
        <w:t>12. Une opportunité perdue ou reportée conserve son motif, sa date, son historique et une éventuelle date de réactivation.</w:t>
      </w:r>
    </w:p>
    <w:p>
      <w:pPr>
        <w:pStyle w:val="Heading1"/>
        <w:keepNext/>
        <w:spacing w:before="200" w:after="100"/>
      </w:pPr>
      <w:r>
        <w:rPr>
          <w:rFonts w:ascii="Inter" w:hAnsi="Inter"/>
        </w:rPr>
        <w:t>85. Workflow F - Partage viral</w:t>
      </w:r>
    </w:p>
    <w:p>
      <w:pPr>
        <w:spacing w:after="60"/>
        <w:ind w:left="312" w:hanging="238"/>
      </w:pPr>
      <w:r>
        <w:rPr>
          <w:rFonts w:ascii="Inter" w:hAnsi="Inter"/>
          <w:b/>
          <w:color w:val="6D4AFF"/>
        </w:rPr>
        <w:t xml:space="preserve">1. </w:t>
      </w:r>
      <w:r>
        <w:rPr>
          <w:rFonts w:ascii="Inter" w:hAnsi="Inter"/>
        </w:rPr>
        <w:t>Depuis Wallet ou le résultat public, l’utilisateur choisit ce qu’il autorise à partager.</w:t>
      </w:r>
    </w:p>
    <w:p>
      <w:pPr>
        <w:spacing w:after="60"/>
        <w:ind w:left="312" w:hanging="238"/>
      </w:pPr>
      <w:r>
        <w:rPr>
          <w:rFonts w:ascii="Inter" w:hAnsi="Inter"/>
          <w:b/>
          <w:color w:val="6D4AFF"/>
        </w:rPr>
        <w:t xml:space="preserve">2. </w:t>
      </w:r>
      <w:r>
        <w:rPr>
          <w:rFonts w:ascii="Inter" w:hAnsi="Inter"/>
        </w:rPr>
        <w:t>Le backend génère une page publique avec une whitelist de données.</w:t>
      </w:r>
    </w:p>
    <w:p>
      <w:pPr>
        <w:spacing w:after="60"/>
        <w:ind w:left="312" w:hanging="238"/>
      </w:pPr>
      <w:r>
        <w:rPr>
          <w:rFonts w:ascii="Inter" w:hAnsi="Inter"/>
          <w:b/>
          <w:color w:val="6D4AFF"/>
        </w:rPr>
        <w:t xml:space="preserve">3. </w:t>
      </w:r>
      <w:r>
        <w:rPr>
          <w:rFonts w:ascii="Inter" w:hAnsi="Inter"/>
        </w:rPr>
        <w:t>Aucune donnée sensible n’est incluse par défaut.</w:t>
      </w:r>
    </w:p>
    <w:p>
      <w:pPr>
        <w:spacing w:after="60"/>
        <w:ind w:left="312" w:hanging="238"/>
      </w:pPr>
      <w:r>
        <w:rPr>
          <w:rFonts w:ascii="Inter" w:hAnsi="Inter"/>
          <w:b/>
          <w:color w:val="6D4AFF"/>
        </w:rPr>
        <w:t xml:space="preserve">4. </w:t>
      </w:r>
      <w:r>
        <w:rPr>
          <w:rFonts w:ascii="Inter" w:hAnsi="Inter"/>
        </w:rPr>
        <w:t>Le destinataire découvre le profil, le score ou l’Investment Age.</w:t>
      </w:r>
    </w:p>
    <w:p>
      <w:pPr>
        <w:spacing w:after="60"/>
        <w:ind w:left="312" w:hanging="238"/>
      </w:pPr>
      <w:r>
        <w:rPr>
          <w:rFonts w:ascii="Inter" w:hAnsi="Inter"/>
          <w:b/>
          <w:color w:val="6D4AFF"/>
        </w:rPr>
        <w:t xml:space="preserve">5. </w:t>
      </w:r>
      <w:r>
        <w:rPr>
          <w:rFonts w:ascii="Inter" w:hAnsi="Inter"/>
        </w:rPr>
        <w:t>Le CTA l’invite à faire sa propre analyse.</w:t>
      </w:r>
    </w:p>
    <w:p>
      <w:pPr>
        <w:spacing w:after="60"/>
        <w:ind w:left="312" w:hanging="238"/>
      </w:pPr>
      <w:r>
        <w:rPr>
          <w:rFonts w:ascii="Inter" w:hAnsi="Inter"/>
          <w:b/>
          <w:color w:val="6D4AFF"/>
        </w:rPr>
        <w:t xml:space="preserve">6. </w:t>
      </w:r>
      <w:r>
        <w:rPr>
          <w:rFonts w:ascii="Inter" w:hAnsi="Inter"/>
        </w:rPr>
        <w:t>Il commence sans compte puis transfère sa session dans Wallet.</w:t>
      </w:r>
    </w:p>
    <w:p>
      <w:pPr>
        <w:spacing w:after="60"/>
        <w:ind w:left="312" w:hanging="238"/>
      </w:pPr>
      <w:r>
        <w:rPr>
          <w:rFonts w:ascii="Inter" w:hAnsi="Inter"/>
          <w:b/>
          <w:color w:val="6D4AFF"/>
        </w:rPr>
        <w:t xml:space="preserve">7. </w:t>
      </w:r>
      <w:r>
        <w:rPr>
          <w:rFonts w:ascii="Inter" w:hAnsi="Inter"/>
        </w:rPr>
        <w:t>La boucle Wallet -&gt; partage -&gt; site -&gt; analyse -&gt; Wallet est mesurée.</w:t>
      </w:r>
    </w:p>
    <w:p>
      <w:pPr>
        <w:pStyle w:val="Heading1"/>
        <w:keepNext/>
        <w:spacing w:before="200" w:after="100"/>
      </w:pPr>
      <w:r>
        <w:rPr>
          <w:rFonts w:ascii="Inter" w:hAnsi="Inter"/>
        </w:rPr>
        <w:t>86. Workflow G - Revue annuelle</w:t>
      </w:r>
    </w:p>
    <w:p>
      <w:pPr>
        <w:spacing w:after="60"/>
        <w:ind w:left="312" w:hanging="238"/>
      </w:pPr>
      <w:r>
        <w:rPr>
          <w:rFonts w:ascii="Inter" w:hAnsi="Inter"/>
          <w:b/>
          <w:color w:val="6D4AFF"/>
        </w:rPr>
        <w:t xml:space="preserve">1. </w:t>
      </w:r>
      <w:r>
        <w:rPr>
          <w:rFonts w:ascii="Inter" w:hAnsi="Inter"/>
        </w:rPr>
        <w:t>Le système détecte qu’une revue est due.</w:t>
      </w:r>
    </w:p>
    <w:p>
      <w:pPr>
        <w:spacing w:after="60"/>
        <w:ind w:left="312" w:hanging="238"/>
      </w:pPr>
      <w:r>
        <w:rPr>
          <w:rFonts w:ascii="Inter" w:hAnsi="Inter"/>
          <w:b/>
          <w:color w:val="6D4AFF"/>
        </w:rPr>
        <w:t xml:space="preserve">2. </w:t>
      </w:r>
      <w:r>
        <w:rPr>
          <w:rFonts w:ascii="Inter" w:hAnsi="Inter"/>
        </w:rPr>
        <w:t>Les nouvelles données de catalogue et de marché sont chargées.</w:t>
      </w:r>
    </w:p>
    <w:p>
      <w:pPr>
        <w:spacing w:after="60"/>
        <w:ind w:left="312" w:hanging="238"/>
      </w:pPr>
      <w:r>
        <w:rPr>
          <w:rFonts w:ascii="Inter" w:hAnsi="Inter"/>
          <w:b/>
          <w:color w:val="6D4AFF"/>
        </w:rPr>
        <w:t xml:space="preserve">3. </w:t>
      </w:r>
      <w:r>
        <w:rPr>
          <w:rFonts w:ascii="Inter" w:hAnsi="Inter"/>
        </w:rPr>
        <w:t>Les contrats et objectifs du client sont snapshotés.</w:t>
      </w:r>
    </w:p>
    <w:p>
      <w:pPr>
        <w:spacing w:after="60"/>
        <w:ind w:left="312" w:hanging="238"/>
      </w:pPr>
      <w:r>
        <w:rPr>
          <w:rFonts w:ascii="Inter" w:hAnsi="Inter"/>
          <w:b/>
          <w:color w:val="6D4AFF"/>
        </w:rPr>
        <w:t xml:space="preserve">4. </w:t>
      </w:r>
      <w:r>
        <w:rPr>
          <w:rFonts w:ascii="Inter" w:hAnsi="Inter"/>
        </w:rPr>
        <w:t>Les moteurs recalculent score, risque, Goal Probability et Target Age.</w:t>
      </w:r>
    </w:p>
    <w:p>
      <w:pPr>
        <w:spacing w:after="60"/>
        <w:ind w:left="312" w:hanging="238"/>
      </w:pPr>
      <w:r>
        <w:rPr>
          <w:rFonts w:ascii="Inter" w:hAnsi="Inter"/>
          <w:b/>
          <w:color w:val="6D4AFF"/>
        </w:rPr>
        <w:t xml:space="preserve">5. </w:t>
      </w:r>
      <w:r>
        <w:rPr>
          <w:rFonts w:ascii="Inter" w:hAnsi="Inter"/>
        </w:rPr>
        <w:t>Les différences par rapport à l’année précédente sont expliquées.</w:t>
      </w:r>
    </w:p>
    <w:p>
      <w:pPr>
        <w:spacing w:after="60"/>
        <w:ind w:left="312" w:hanging="238"/>
      </w:pPr>
      <w:r>
        <w:rPr>
          <w:rFonts w:ascii="Inter" w:hAnsi="Inter"/>
          <w:b/>
          <w:color w:val="6D4AFF"/>
        </w:rPr>
        <w:t xml:space="preserve">6. </w:t>
      </w:r>
      <w:r>
        <w:rPr>
          <w:rFonts w:ascii="Inter" w:hAnsi="Inter"/>
        </w:rPr>
        <w:t>Le Health Check et le Wrapped annuel sont générés.</w:t>
      </w:r>
    </w:p>
    <w:p>
      <w:pPr>
        <w:spacing w:after="60"/>
        <w:ind w:left="312" w:hanging="238"/>
      </w:pPr>
      <w:r>
        <w:rPr>
          <w:rFonts w:ascii="Inter" w:hAnsi="Inter"/>
          <w:b/>
          <w:color w:val="6D4AFF"/>
        </w:rPr>
        <w:t xml:space="preserve">7. </w:t>
      </w:r>
      <w:r>
        <w:rPr>
          <w:rFonts w:ascii="Inter" w:hAnsi="Inter"/>
        </w:rPr>
        <w:t>Les opportunités ou alertes deviennent des recommandations.</w:t>
      </w:r>
    </w:p>
    <w:p>
      <w:pPr>
        <w:spacing w:after="60"/>
        <w:ind w:left="312" w:hanging="238"/>
      </w:pPr>
      <w:r>
        <w:rPr>
          <w:rFonts w:ascii="Inter" w:hAnsi="Inter"/>
          <w:b/>
          <w:color w:val="6D4AFF"/>
        </w:rPr>
        <w:t xml:space="preserve">8. </w:t>
      </w:r>
      <w:r>
        <w:rPr>
          <w:rFonts w:ascii="Inter" w:hAnsi="Inter"/>
        </w:rPr>
        <w:t>Le client confirme, demande un échange ou ignore avec raison.</w:t>
      </w:r>
    </w:p>
    <w:p>
      <w:pPr>
        <w:spacing w:after="60"/>
        <w:ind w:left="312" w:hanging="238"/>
      </w:pPr>
      <w:r>
        <w:rPr>
          <w:rFonts w:ascii="Inter" w:hAnsi="Inter"/>
          <w:b/>
          <w:color w:val="6D4AFF"/>
        </w:rPr>
        <w:t xml:space="preserve">9. </w:t>
      </w:r>
      <w:r>
        <w:rPr>
          <w:rFonts w:ascii="Inter" w:hAnsi="Inter"/>
        </w:rPr>
        <w:t>Toute adaptation crée une nouvelle étape dans la timeline.</w:t>
      </w:r>
    </w:p>
    <w:p>
      <w:pPr>
        <w:pStyle w:val="Heading1"/>
        <w:spacing w:before="200" w:after="100"/>
      </w:pPr>
      <w:r>
        <w:t>87. Workflow H - Support client piloté par le copilote IA</w:t>
      </w:r>
    </w:p>
    <w:p>
      <w:pPr/>
      <w:r>
        <w:t>1. Un client envoie un email, appelle ou demande une assistance depuis Wallet ; la demande est reliée à son identité et à son historique.</w:t>
      </w:r>
    </w:p>
    <w:p>
      <w:pPr/>
      <w:r>
        <w:t>2. Depuis Admin mobile ou desktop, l’utilisateur ouvre le client ou dicte dans le chat global la création d’un dossier support ou sinistre.</w:t>
      </w:r>
    </w:p>
    <w:p>
      <w:pPr/>
      <w:r>
        <w:t>3. Le copilote propose le type de dossier, le responsable, la priorité, l’échéance, la prochaine action et les éventuelles tâches initiales.</w:t>
      </w:r>
    </w:p>
    <w:p>
      <w:pPr/>
      <w:r>
        <w:t>4. Après confirmation, les objets sont créés avec leurs identifiants canoniques et apparaissent immédiatement dans la vue client, le Kanban, le calendrier et les dashboards.</w:t>
      </w:r>
    </w:p>
    <w:p>
      <w:pPr/>
      <w:r>
        <w:t>5. Les pièces jointes fournies dans le chat, l’email ou la tâche sont classifiées, extraites et rattachées ; les données structurées et conflits sont présentés.</w:t>
      </w:r>
    </w:p>
    <w:p>
      <w:pPr/>
      <w:r>
        <w:t>6. Chaque nouvelle information peut être dictée ou saisie dans le chat contextuel de la tâche : le copilote transforme la mise à jour en changement de statut, note, sous-tâche, document manquant ou prochaine action.</w:t>
      </w:r>
    </w:p>
    <w:p>
      <w:pPr/>
      <w:r>
        <w:t>7. Une réponse Gmail ou un rendez-vous Calendar met à jour la timeline et peut déclencher automatiquement la prochaine étape.</w:t>
      </w:r>
    </w:p>
    <w:p>
      <w:pPr/>
      <w:r>
        <w:t>8. Les envois externes, clôtures, changements sensibles ou actions massives exigent l’aperçu et la confirmation appropriés.</w:t>
      </w:r>
    </w:p>
    <w:p>
      <w:pPr/>
      <w:r>
        <w:t>9. La résolution produit un récapitulatif, clôture les tâches compatibles, programme un suivi si nécessaire et conserve une trace complète des commandes et actions.</w:t>
      </w:r>
    </w:p>
    <w:p>
      <w:pPr>
        <w:pStyle w:val="Heading1"/>
        <w:spacing w:before="200" w:after="100"/>
      </w:pPr>
      <w:r>
        <w:t>88. Workflow I - Question de couverture personnalisée vers support</w:t>
      </w:r>
    </w:p>
    <w:p>
      <w:pPr/>
      <w:r>
        <w:t>1. Le client ouvre « Suis-je couvert ? » dans Wallet et décrit le scénario par texte ou par voix.</w:t>
      </w:r>
    </w:p>
    <w:p>
      <w:pPr/>
      <w:r>
        <w:t>2. Le backend authentifie le client, lie la conversation et extrait les faits importants du scénario.</w:t>
      </w:r>
    </w:p>
    <w:p>
      <w:pPr/>
      <w:r>
        <w:t>3. Le Coverage Engine sélectionne les contrats candidats, les versions applicables et les documents autorisés.</w:t>
      </w:r>
    </w:p>
    <w:p>
      <w:pPr/>
      <w:r>
        <w:t>4. L’assistant pose les questions indispensables lorsque la date, le lieu, la cause ou le bien concerné sont ambigus.</w:t>
      </w:r>
    </w:p>
    <w:p>
      <w:pPr/>
      <w:r>
        <w:t>5. Le système récupère les clauses et applique les règles avant de produire une réponse prudente, sourcée et datée.</w:t>
      </w:r>
    </w:p>
    <w:p>
      <w:pPr/>
      <w:r>
        <w:t>6. Wallet présente la conclusion, les limites, les documents cités, les informations manquantes et les prochaines actions.</w:t>
      </w:r>
    </w:p>
    <w:p>
      <w:pPr/>
      <w:r>
        <w:t>7. Le client peut ajouter des pièces ; elles sont classifiées, extraites et rattachées à la conversation et aux contrats concernés.</w:t>
      </w:r>
    </w:p>
    <w:p>
      <w:pPr/>
      <w:r>
        <w:t>8. S’il demande une aide humaine, un SupportCase ou ClaimAssistanceRequest est créé avec résumé, preuves, urgence et prochaine action.</w:t>
      </w:r>
    </w:p>
    <w:p>
      <w:pPr/>
      <w:r>
        <w:t>9. Admin reçoit le dossier dans la file appropriée ; Gmail, Calendar, tâches et timeline reprennent le même contexte.</w:t>
      </w:r>
    </w:p>
    <w:p>
      <w:pPr/>
      <w:r>
        <w:t>10. Les mises à jour et la résolution sont renvoyées dans Wallet, puis la conversation et le dossier restent auditables.</w:t>
      </w:r>
    </w:p>
    <w:p>
      <w:pPr>
        <w:pStyle w:val="Heading1"/>
        <w:spacing w:before="200" w:after="100"/>
      </w:pPr>
      <w:r>
        <w:t>89. Workflow J - Carte digitale, gain et redemption de Miles</w:t>
      </w:r>
    </w:p>
    <w:p>
      <w:pPr/>
      <w:r>
        <w:t>1. Le client active la carte CoverView depuis Wallet ; le backend crée une instance de pass et un jeton opaque.</w:t>
      </w:r>
    </w:p>
    <w:p>
      <w:pPr/>
      <w:r>
        <w:t>2. La carte est ajoutée au wallet numérique compatible et contient un lien vers CoverView, sans devenir un facteur d’authentification.</w:t>
      </w:r>
    </w:p>
    <w:p>
      <w:pPr/>
      <w:r>
        <w:t>3. Un événement éligible survient : formation, prestation, activation de contrat, campagne ou transaction partenaire.</w:t>
      </w:r>
    </w:p>
    <w:p>
      <w:pPr/>
      <w:r>
        <w:t>4. Le Miles Rules Engine évalue la règle versionnée et crée une écriture PENDING ou AVAILABLE dans le ledger.</w:t>
      </w:r>
    </w:p>
    <w:p>
      <w:pPr/>
      <w:r>
        <w:t>5. Après les contrôles requis, les Miles deviennent disponibles ; Wallet et la carte reflètent le nouveau solde ou niveau.</w:t>
      </w:r>
    </w:p>
    <w:p>
      <w:pPr/>
      <w:r>
        <w:t>6. Le client choisit une récompense dans le shop et demande la redemption.</w:t>
      </w:r>
    </w:p>
    <w:p>
      <w:pPr/>
      <w:r>
        <w:t>7. Le backend contrôle atomiquement solde, éligibilité, stock, limites, conditions et fraude avant de réserver les Miles.</w:t>
      </w:r>
    </w:p>
    <w:p>
      <w:pPr/>
      <w:r>
        <w:t>8. La redemption crée un entitlement, un voucher ou un QR à usage contrôlé ; l’historique et les conditions sont visibles dans Wallet.</w:t>
      </w:r>
    </w:p>
    <w:p>
      <w:pPr/>
      <w:r>
        <w:t>9. Chez un partenaire, Partners vérifie le jeton auprès du backend puis consomme le droit ; aucune décision sensible n’est prise hors ligne.</w:t>
      </w:r>
    </w:p>
    <w:p>
      <w:pPr/>
      <w:r>
        <w:t>10. Le ledger débite ou libère les Miles, le stock est mis à jour, le partenaire est rapproché et les notifications sont émises.</w:t>
      </w:r>
    </w:p>
    <w:p>
      <w:pPr/>
      <w:r>
        <w:t>11. Une annulation, expiration ou fraude produit une opération explicite de reversal ou de compensation, jamais une réécriture de l’historique.</w:t>
      </w:r>
    </w:p>
    <w:p>
      <w:pPr>
        <w:pStyle w:val="Heading1"/>
        <w:keepNext/>
        <w:spacing w:before="200" w:after="100"/>
      </w:pPr>
      <w:r>
        <w:t>89 bis. Workflow L - Check Retire vers Plan et Strategy</w:t>
      </w:r>
    </w:p>
    <w:p>
      <w:pPr>
        <w:pStyle w:val="CoverViewSmall"/>
        <w:keepNext/>
      </w:pPr>
      <w:r>
        <w:t>Raccordement proposé du parcours [RET-1] aux objets et automatisations communs.</w:t>
      </w:r>
    </w:p>
    <w:p>
      <w:pPr>
        <w:keepNext w:val="0"/>
      </w:pPr>
      <w:r>
        <w:t>1. Le visiteur saisit les données minimales du foyer et reçoit le Check gratuit avant création de compte.</w:t>
      </w:r>
    </w:p>
    <w:p>
      <w:pPr>
        <w:keepNext w:val="0"/>
      </w:pPr>
      <w:r>
        <w:t>2. La sauvegarde rattache la session et ses données au compte Wallet, puis au foyer autorisé.</w:t>
      </w:r>
    </w:p>
    <w:p>
      <w:pPr>
        <w:keepNext w:val="0"/>
      </w:pPr>
      <w:r>
        <w:t>3. Les contrats, avoirs retrouvés et certificats déjà disponibles sont reliés au plan ; les manques deviennent des tâches.</w:t>
      </w:r>
    </w:p>
    <w:p>
      <w:pPr>
        <w:keepNext w:val="0"/>
      </w:pPr>
      <w:r>
        <w:t>4. L’achat de Plan active l’entitlement correspondant et conserve le même plan, ses hypothèses et ses versions.</w:t>
      </w:r>
    </w:p>
    <w:p>
      <w:pPr>
        <w:keepNext w:val="0"/>
      </w:pPr>
      <w:r>
        <w:t>5. Le moteur calcule les options autorisées, Retirement Range, probabilités et stress selon le périmètre disponible.</w:t>
      </w:r>
    </w:p>
    <w:p>
      <w:pPr>
        <w:keepNext w:val="0"/>
      </w:pPr>
      <w:r>
        <w:t>6. Wallet affiche les décisions utiles, N réellement exécuté une fois et les sources de chaque hypothèse.</w:t>
      </w:r>
    </w:p>
    <w:p>
      <w:pPr>
        <w:keepNext w:val="0"/>
      </w:pPr>
      <w:r>
        <w:t>7. La montée vers Strategy facture le supplément prévu de CHF 900 après vérification du Plan déjà payé.</w:t>
      </w:r>
    </w:p>
    <w:p>
      <w:pPr>
        <w:keepNext w:val="0"/>
      </w:pPr>
      <w:r>
        <w:t>8. Admin ouvre ou complète le dossier expert ; le rendez-vous et les pièces sont suivis dans Calendar, Gmail et Kanban.</w:t>
      </w:r>
    </w:p>
    <w:p>
      <w:pPr>
        <w:keepNext w:val="0"/>
      </w:pPr>
      <w:r>
        <w:t>9. La validation conserve la décision et ses réserves sans exécuter automatiquement un acte financier.</w:t>
      </w:r>
    </w:p>
    <w:p>
      <w:pPr>
        <w:pStyle w:val="Heading1"/>
        <w:keepNext/>
        <w:spacing w:before="200" w:after="100"/>
      </w:pPr>
      <w:r>
        <w:t>89 ter. Workflow M - Care, événement de vie et revue</w:t>
      </w:r>
    </w:p>
    <w:p>
      <w:pPr>
        <w:keepNext w:val="0"/>
      </w:pPr>
      <w:r>
        <w:t>1. Une échéance de suivi ou une modification autorisée de données déclenche l’évaluation du monitoring.</w:t>
      </w:r>
    </w:p>
    <w:p>
      <w:pPr>
        <w:keepNext w:val="0"/>
      </w:pPr>
      <w:r>
        <w:t>2. Le système vérifie le droit Care actif ou inclus et la version du plan concernée.</w:t>
      </w:r>
    </w:p>
    <w:p>
      <w:pPr>
        <w:keepNext w:val="0"/>
      </w:pPr>
      <w:r>
        <w:t>3. Un calcul produit une nouvelle version sans effacer l’analyse antérieure ; les écarts de budget et de robustesse sont expliqués.</w:t>
      </w:r>
    </w:p>
    <w:p>
      <w:pPr>
        <w:keepNext w:val="0"/>
      </w:pPr>
      <w:r>
        <w:t>4. Une alerte apparaît dans Wallet et devient une tâche Admin avec responsable, échéance et prochaine action.</w:t>
      </w:r>
    </w:p>
    <w:p>
      <w:pPr>
        <w:keepNext w:val="0"/>
      </w:pPr>
      <w:r>
        <w:t>5. Un changement de foyer, un budget, une succession ou la dépendance peut nécessiter des documents et une revue humaine.</w:t>
      </w:r>
    </w:p>
    <w:p>
      <w:pPr>
        <w:keepNext w:val="0"/>
      </w:pPr>
      <w:r>
        <w:t>6. La revue Annual / Event Review est proposée comme service ponctuel selon les conditions retenues ; elle n’est pas supposée comprise dans Care.</w:t>
      </w:r>
    </w:p>
    <w:p>
      <w:pPr>
        <w:keepNext w:val="0"/>
      </w:pPr>
      <w:r>
        <w:t>7. Le rendez-vous, les échanges et la décision sont rattachés au même dossier ; l’historique reste consultable dans Wallet.</w:t>
      </w:r>
    </w:p>
    <w:p>
      <w:pPr>
        <w:pStyle w:val="Heading1"/>
        <w:keepNext/>
        <w:spacing w:before="200" w:after="100"/>
      </w:pPr>
      <w:r>
        <w:rPr/>
        <w:t>90. Workflow K - Exchange futur</w:t>
      </w:r>
    </w:p>
    <w:p>
      <w:pPr>
        <w:spacing w:after="60"/>
        <w:ind w:left="312" w:hanging="238"/>
      </w:pPr>
      <w:r>
        <w:rPr>
          <w:rFonts w:ascii="Inter" w:hAnsi="Inter"/>
          <w:b/>
          <w:color w:val="6D4AFF"/>
        </w:rPr>
        <w:t xml:space="preserve">1. </w:t>
      </w:r>
      <w:r>
        <w:rPr>
          <w:rFonts w:ascii="Inter" w:hAnsi="Inter"/>
        </w:rPr>
        <w:t>Le créateur définit un événement paramétrique objectivement mesurable.</w:t>
      </w:r>
    </w:p>
    <w:p>
      <w:pPr>
        <w:spacing w:after="60"/>
        <w:ind w:left="312" w:hanging="238"/>
      </w:pPr>
      <w:r>
        <w:rPr>
          <w:rFonts w:ascii="Inter" w:hAnsi="Inter"/>
          <w:b/>
          <w:color w:val="6D4AFF"/>
        </w:rPr>
        <w:t xml:space="preserve">2. </w:t>
      </w:r>
      <w:r>
        <w:rPr>
          <w:rFonts w:ascii="Inter" w:hAnsi="Inter"/>
        </w:rPr>
        <w:t>La plateforme valide la source, le seuil, la période et le montant.</w:t>
      </w:r>
    </w:p>
    <w:p>
      <w:pPr>
        <w:spacing w:after="60"/>
        <w:ind w:left="312" w:hanging="238"/>
      </w:pPr>
      <w:r>
        <w:rPr>
          <w:rFonts w:ascii="Inter" w:hAnsi="Inter"/>
          <w:b/>
          <w:color w:val="6D4AFF"/>
        </w:rPr>
        <w:t xml:space="preserve">3. </w:t>
      </w:r>
      <w:r>
        <w:rPr>
          <w:rFonts w:ascii="Inter" w:hAnsi="Inter"/>
        </w:rPr>
        <w:t>Les participants prennent des fractions d’exposition selon leurs limites.</w:t>
      </w:r>
    </w:p>
    <w:p>
      <w:pPr>
        <w:spacing w:after="60"/>
        <w:ind w:left="312" w:hanging="238"/>
      </w:pPr>
      <w:r>
        <w:rPr>
          <w:rFonts w:ascii="Inter" w:hAnsi="Inter"/>
          <w:b/>
          <w:color w:val="6D4AFF"/>
        </w:rPr>
        <w:t xml:space="preserve">4. </w:t>
      </w:r>
      <w:r>
        <w:rPr>
          <w:rFonts w:ascii="Inter" w:hAnsi="Inter"/>
        </w:rPr>
        <w:t>Les engagements sont bloqués ou garantis selon le modèle réglementaire retenu.</w:t>
      </w:r>
    </w:p>
    <w:p>
      <w:pPr>
        <w:spacing w:after="60"/>
        <w:ind w:left="312" w:hanging="238"/>
      </w:pPr>
      <w:r>
        <w:rPr>
          <w:rFonts w:ascii="Inter" w:hAnsi="Inter"/>
          <w:b/>
          <w:color w:val="6D4AFF"/>
        </w:rPr>
        <w:t xml:space="preserve">5. </w:t>
      </w:r>
      <w:r>
        <w:rPr>
          <w:rFonts w:ascii="Inter" w:hAnsi="Inter"/>
        </w:rPr>
        <w:t>La métrique officielle est observée à l’échéance.</w:t>
      </w:r>
    </w:p>
    <w:p>
      <w:pPr>
        <w:spacing w:after="60"/>
        <w:ind w:left="312" w:hanging="238"/>
      </w:pPr>
      <w:r>
        <w:rPr>
          <w:rFonts w:ascii="Inter" w:hAnsi="Inter"/>
          <w:b/>
          <w:color w:val="6D4AFF"/>
        </w:rPr>
        <w:t xml:space="preserve">6. </w:t>
      </w:r>
      <w:r>
        <w:rPr>
          <w:rFonts w:ascii="Inter" w:hAnsi="Inter"/>
        </w:rPr>
        <w:t>Le moteur de settlement applique les règles immuables.</w:t>
      </w:r>
    </w:p>
    <w:p>
      <w:pPr>
        <w:spacing w:after="60"/>
        <w:ind w:left="312" w:hanging="238"/>
      </w:pPr>
      <w:r>
        <w:rPr>
          <w:rFonts w:ascii="Inter" w:hAnsi="Inter"/>
          <w:b/>
          <w:color w:val="6D4AFF"/>
        </w:rPr>
        <w:t xml:space="preserve">7. </w:t>
      </w:r>
      <w:r>
        <w:rPr>
          <w:rFonts w:ascii="Inter" w:hAnsi="Inter"/>
        </w:rPr>
        <w:t>Le ledger enregistre le règlement et la preuve.</w:t>
      </w:r>
    </w:p>
    <w:p>
      <w:pPr>
        <w:spacing w:after="60"/>
        <w:ind w:left="312" w:hanging="238"/>
      </w:pPr>
      <w:r>
        <w:rPr>
          <w:rFonts w:ascii="Inter" w:hAnsi="Inter"/>
          <w:b/>
          <w:color w:val="6D4AFF"/>
        </w:rPr>
        <w:t xml:space="preserve">8. </w:t>
      </w:r>
      <w:r>
        <w:rPr>
          <w:rFonts w:ascii="Inter" w:hAnsi="Inter"/>
        </w:rPr>
        <w:t>Les contrôles de conformité et de litige sont séparés des autres applications.</w:t>
      </w:r>
    </w:p>
    <w:p>
      <w:r>
        <w:rPr>
          <w:rFonts w:ascii="Inter" w:hAnsi="Inter"/>
        </w:rPr>
        <w:br w:type="page"/>
      </w:r>
    </w:p>
    <w:tbl>
      <w:tblPr>
        <w:tblW w:type="auto" w:w="0"/>
        <w:tblLook w:firstColumn="1" w:firstRow="1" w:lastColumn="0" w:lastRow="0" w:noHBand="0" w:noVBand="1" w:val="04A0"/>
      </w:tblPr>
      <w:tblGrid>
        <w:gridCol w:w="9978"/>
      </w:tblGrid>
      <w:tr>
        <w:tc>
          <w:tcPr>
            <w:tcW w:type="dxa" w:w="9978"/>
            <w:shd w:fill="25265E" w:val="clear"/>
            <w:tcMar>
              <w:top w:w="180" w:type="dxa"/>
              <w:start w:w="220" w:type="dxa"/>
              <w:bottom w:w="180" w:type="dxa"/>
              <w:end w:w="220" w:type="dxa"/>
            </w:tcMar>
            <w:tcBorders>
              <w:top w:val="nil"/>
              <w:left w:val="nil"/>
              <w:bottom w:val="nil"/>
              <w:right w:val="nil"/>
            </w:tcBorders>
          </w:tcPr>
          <w:p>
            <w:pPr>
              <w:spacing w:after="40"/>
            </w:pPr>
            <w:r>
              <w:rPr>
                <w:rFonts w:ascii="Inter Display" w:hAnsi="Inter Display"/>
                <w:b/>
                <w:color w:val="FFFFFF"/>
                <w:sz w:val="40"/>
              </w:rPr>
              <w:t>PARTIE X</w:t>
            </w:r>
          </w:p>
          <w:p>
            <w:pPr>
              <w:spacing w:after="0"/>
            </w:pPr>
            <w:r>
              <w:rPr>
                <w:rFonts w:ascii="Inter" w:hAnsi="Inter"/>
                <w:color w:val="E7E8FF"/>
                <w:sz w:val="20"/>
              </w:rPr>
              <w:t>Roadmap, mesure, gouvernance et glossaire</w:t>
            </w:r>
          </w:p>
        </w:tc>
      </w:tr>
    </w:tbl>
    <w:p>
      <w:pPr>
        <w:spacing w:after="0"/>
      </w:pPr>
    </w:p>
    <w:p>
      <w:pPr>
        <w:pStyle w:val="Heading1"/>
        <w:keepNext/>
        <w:spacing w:before="200" w:after="100"/>
      </w:pPr>
      <w:r>
        <w:rPr/>
        <w:t>91. Roadmap indicative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4"/>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b/>
                <w:color w:val="FFFFFF"/>
              </w:rPr>
              <w:t>Phase</w:t>
            </w:r>
          </w:p>
        </w:tc>
        <w:tc>
          <w:tcPr>
            <w:tcW w:type="dxa" w:w="294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b/>
                <w:color w:val="FFFFFF"/>
              </w:rPr>
              <w:t>Objectif</w:t>
            </w:r>
          </w:p>
        </w:tc>
        <w:tc>
          <w:tcPr>
            <w:tcW w:type="dxa" w:w="4876"/>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b/>
                <w:color w:val="FFFFFF"/>
              </w:rPr>
              <w:t>Livrables prioritaires</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0. Fondation</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Éviter la dette structurelle</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Identité commune, API, domaines DB, permissions, audit trail, catalogue canonique</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1. Réactivation du site</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Capitaliser rapidement sur l’inbound et les IA</w:t>
            </w:r>
          </w:p>
        </w:tc>
        <w:tc>
          <w:tcPr>
            <w:tcW w:type="dxa" w:w="487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Home, Sébastien, vision, méthode, services, cas, FAQ, contact, contenu machine-readable</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2. Transactionnel</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Transformer le site en porte d’entrée</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Compte partagé, profil, scan ID, moteur documents, procuration, mandat, signature</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3. CRM et cockpit opérationnel</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Ne perdre aucun lead, dossier ou prochaine action</w:t>
            </w:r>
          </w:p>
        </w:tc>
        <w:tc>
          <w:tcPr>
            <w:tcW w:type="dxa" w:w="487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Saisie de leads, opportunités, client 360, projets, tâches, Kanban, Gmail, Calendar, pipeline, revenus, objectifs et forecasts</w:t>
            </w:r>
          </w:p>
        </w:tc>
      </w:tr>
      <w:tr>
        <w:tc>
          <w:tcPr>
            <w:tcW w:type="dxa" w:w="3326"/>
          </w:tcPr>
          <w:p>
            <w:pPr/>
            <w:r>
              <w:t>4. Copilote IA opérationnel</w:t>
            </w:r>
          </w:p>
        </w:tc>
        <w:tc>
          <w:tcPr>
            <w:tcW w:type="dxa" w:w="3326"/>
          </w:tcPr>
          <w:p>
            <w:pPr/>
            <w:r>
              <w:t>Piloter Admin par langage naturel, pièces jointes et voix</w:t>
            </w:r>
          </w:p>
        </w:tc>
        <w:tc>
          <w:tcPr>
            <w:tcW w:type="dxa" w:w="3326"/>
          </w:tcPr>
          <w:p>
            <w:pPr/>
            <w:r>
              <w:t>Chat global, chats contextuels, Action Registry, Tool Gateway, confirmations, ingestion documentaire, dictée, mobile/PWA, audit et sécurité LLM</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t>5. Administration automatisée</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Réduire la friction client</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Recherche LPP, récupération de contrats, email ingress, classification, extraction, Admin exceptions</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t>6. Analyse 3P V1</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Donner une valeur forte</w:t>
            </w:r>
          </w:p>
        </w:tc>
        <w:tc>
          <w:tcPr>
            <w:tcW w:type="dxa" w:w="487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Upload, extraction, Score, Investment Age, DNA, Reveal, audit de base</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t>7. Retraite probabiliste</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Relier le contrat à l’objectif</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Inflation, Gap, Target Age, Goal Probability, fan chart, cache simulations</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t>8. Strategy Finder</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Comparer et convertir</w:t>
            </w:r>
          </w:p>
        </w:tc>
        <w:tc>
          <w:tcPr>
            <w:tcW w:type="dxa" w:w="487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Alternatives, optimisation, duel, validation expert, rapports</w:t>
            </w:r>
          </w:p>
        </w:tc>
      </w:tr>
      <w:t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9. Assistant de couverture client</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Répondre à partir des contrats réels</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Chat Wallet, harness, retrieval, citations, incertitude, pièces jointes, support case et handoff Admin</w:t>
            </w:r>
          </w:p>
        </w:tc>
      </w:tr>
      <w:tr>
        <w:trPr>
          <w:cantSplit/>
        </w:trP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4"/>
              </w:rPr>
              <w:t>10. Rétention</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Prouver le suivi</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Health Check, Wrapped annuel, timeline, monitoring, Retirement World persistant</w:t>
            </w:r>
          </w:p>
        </w:tc>
      </w:tr>
      <w:tr>
        <w:tc>
          <w:tcPr>
            <w:tcW w:type="dxa" w:w="1814"/>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11. Carte digitale et Miles</w:t>
            </w:r>
          </w:p>
        </w:tc>
        <w:tc>
          <w:tcPr>
            <w:tcW w:type="dxa" w:w="294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Étendre la relation et la fidélité</w:t>
            </w:r>
          </w:p>
        </w:tc>
        <w:tc>
          <w:tcPr>
            <w:tcW w:type="dxa" w:w="4876"/>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Pass Apple/Google, jetons, ledger Miles, règles, shop, vouchers, rewards, anti-fraude et reporting</w:t>
            </w:r>
          </w:p>
        </w:tc>
      </w:tr>
      <w:tr>
        <w:trPr>
          <w:cantSplit/>
        </w:trPr>
        <w:tc>
          <w:tcPr>
            <w:tcW w:type="dxa" w:w="1814"/>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r>
              <w:rPr>
                <w:rFonts w:ascii="Inter" w:hAnsi="Inter"/>
                <w:sz w:val="14"/>
              </w:rPr>
              <w:t>12. Pro et partenaires</w:t>
            </w:r>
          </w:p>
        </w:tc>
        <w:tc>
          <w:tcPr>
            <w:tcW w:type="dxa" w:w="294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Étendre la plateforme</w:t>
            </w:r>
          </w:p>
        </w:tc>
        <w:tc>
          <w:tcPr>
            <w:tcW w:type="dxa" w:w="4876"/>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Intelligence approfondi, Partners complet, commissions et reporting</w:t>
            </w:r>
          </w:p>
        </w:tc>
      </w:tr>
      <w:tr>
        <w:tc>
          <w:tcPr>
            <w:tcW w:type="dxa" w:w="3326"/>
          </w:tcPr>
          <w:p>
            <w:pPr/>
            <w:r>
              <w:rPr>
                <w:rFonts w:ascii="Inter" w:hAnsi="Inter"/>
                <w:sz w:val="14"/>
              </w:rPr>
              <w:t>13. Exchange</w:t>
            </w:r>
          </w:p>
        </w:tc>
        <w:tc>
          <w:tcPr>
            <w:tcW w:type="dxa" w:w="3326"/>
          </w:tcPr>
          <w:p>
            <w:r>
              <w:t>Explorer le transfert de risque</w:t>
            </w:r>
          </w:p>
        </w:tc>
        <w:tc>
          <w:tcPr>
            <w:tcW w:type="dxa" w:w="3326"/>
          </w:tcPr>
          <w:p>
            <w:r>
              <w:t>Étude juridique, prototype isolé, gouvernance et ledger</w:t>
            </w:r>
          </w:p>
        </w:tc>
      </w:tr>
    </w:tbl>
    <w:p>
      <w:pPr>
        <w:spacing w:after="0"/>
      </w:pPr>
    </w:p>
    <w:p>
      <w:pPr/>
      <w:r>
        <w:rPr>
          <w:rFonts w:ascii="Inter" w:hAnsi="Inter"/>
          <w:i w:val="0"/>
        </w:rPr>
        <w:t>La séquence exacte dépend de l’existant. Les phases 1 et 2 peuvent être menées rapidement en parallèle de la consolidation du socle, à condition de ne pas créer de base ou d’authentification séparées.</w:t>
      </w:r>
    </w:p>
    <w:p>
      <w:pPr>
        <w:pStyle w:val="Heading2"/>
        <w:keepNext/>
        <w:spacing w:before="160" w:after="80"/>
      </w:pPr>
      <w:r>
        <w:t>91.1 Roadmap Retire articulée au socle</w:t>
      </w:r>
    </w:p>
    <w:p>
      <w:pPr>
        <w:keepNext w:val="0"/>
      </w:pPr>
      <w:r>
        <w:t>Les cinq phases du document Retire sont conservées en R12 : Decision Engine -&gt; Life Engine -&gt; Capital Engine -&gt; Monitoring -&gt; Distribution. Elles prolongent notamment les phases générales 7 (retraite probabiliste), 8 (stratégies), 10 (rétention) et 12 (pro / partenaires). La première commercialisation reste conditionnée au périmètre réellement disponible et aux validations de R16 ; aucun jalon n’est annoncé comme déjà livré.</w:t>
      </w:r>
    </w:p>
    <w:p>
      <w:pPr>
        <w:pStyle w:val="Heading1"/>
        <w:keepNext/>
        <w:spacing w:before="200" w:after="100"/>
      </w:pPr>
      <w:r>
        <w:rPr/>
        <w:t>92. Indicateurs de succès</w:t>
      </w:r>
    </w:p>
    <w:p>
      <w:pPr>
        <w:pStyle w:val="Heading2"/>
        <w:keepNext/>
        <w:spacing w:before="160" w:after="80"/>
      </w:pPr>
      <w:r>
        <w:rPr/>
        <w:t>92.1 Acquisition et produit</w:t>
      </w:r>
    </w:p>
    <w:p>
      <w:pPr>
        <w:pStyle w:val="ListBullet"/>
        <w:spacing w:after="50"/>
        <w:ind w:left="312" w:hanging="102"/>
      </w:pPr>
      <w:r>
        <w:rPr>
          <w:rFonts w:ascii="Inter" w:hAnsi="Inter"/>
        </w:rPr>
        <w:t>part des prospects provenant de ChatGPT ou d’autres IA ;</w:t>
      </w:r>
    </w:p>
    <w:p>
      <w:pPr>
        <w:pStyle w:val="ListBullet"/>
        <w:spacing w:after="50"/>
        <w:ind w:left="312" w:hanging="102"/>
      </w:pPr>
      <w:r>
        <w:rPr>
          <w:rFonts w:ascii="Inter" w:hAnsi="Inter"/>
        </w:rPr>
        <w:t>taux de démarrage et de complétion d’une analyse ;</w:t>
      </w:r>
    </w:p>
    <w:p>
      <w:pPr>
        <w:pStyle w:val="ListBullet"/>
        <w:spacing w:after="50"/>
        <w:ind w:left="312" w:hanging="102"/>
      </w:pPr>
      <w:r>
        <w:rPr>
          <w:rFonts w:ascii="Inter" w:hAnsi="Inter"/>
        </w:rPr>
        <w:t>taux d’upload versus identification manuelle ;</w:t>
      </w:r>
    </w:p>
    <w:p>
      <w:pPr>
        <w:pStyle w:val="ListBullet"/>
        <w:spacing w:after="50"/>
        <w:ind w:left="312" w:hanging="102"/>
      </w:pPr>
      <w:r>
        <w:rPr>
          <w:rFonts w:ascii="Inter" w:hAnsi="Inter"/>
        </w:rPr>
        <w:t>taux de complétion du Reveal ;</w:t>
      </w:r>
    </w:p>
    <w:p>
      <w:pPr>
        <w:pStyle w:val="ListBullet"/>
        <w:spacing w:after="50"/>
        <w:ind w:left="312" w:hanging="102"/>
      </w:pPr>
      <w:r>
        <w:rPr>
          <w:rFonts w:ascii="Inter" w:hAnsi="Inter"/>
        </w:rPr>
        <w:t>conversion « résultat -&gt; sauvegarde Wallet » ;</w:t>
      </w:r>
    </w:p>
    <w:p>
      <w:pPr>
        <w:pStyle w:val="ListBullet"/>
        <w:spacing w:after="50"/>
        <w:ind w:left="312" w:hanging="102"/>
      </w:pPr>
      <w:r>
        <w:rPr>
          <w:rFonts w:ascii="Inter" w:hAnsi="Inter"/>
        </w:rPr>
        <w:t>conversion « audit -&gt; validation expert » ;</w:t>
      </w:r>
    </w:p>
    <w:p>
      <w:pPr>
        <w:pStyle w:val="ListBullet"/>
        <w:spacing w:after="50"/>
        <w:ind w:left="312" w:hanging="102"/>
      </w:pPr>
      <w:r>
        <w:rPr>
          <w:rFonts w:ascii="Inter" w:hAnsi="Inter"/>
        </w:rPr>
        <w:t>partages et nouveaux parcours générés.</w:t>
      </w:r>
    </w:p>
    <w:p>
      <w:pPr>
        <w:pStyle w:val="Heading2"/>
        <w:keepNext/>
        <w:spacing w:before="160" w:after="80"/>
      </w:pPr>
      <w:r>
        <w:rPr/>
        <w:t>92.2 Automatisation</w:t>
      </w:r>
    </w:p>
    <w:p>
      <w:pPr>
        <w:pStyle w:val="ListBullet"/>
        <w:spacing w:after="50"/>
        <w:ind w:left="312" w:hanging="102"/>
      </w:pPr>
      <w:r>
        <w:rPr>
          <w:rFonts w:ascii="Inter" w:hAnsi="Inter"/>
        </w:rPr>
        <w:t>taux de documents automatiquement classifiés ;</w:t>
      </w:r>
    </w:p>
    <w:p>
      <w:pPr>
        <w:pStyle w:val="ListBullet"/>
        <w:spacing w:after="50"/>
        <w:ind w:left="312" w:hanging="102"/>
      </w:pPr>
      <w:r>
        <w:rPr>
          <w:rFonts w:ascii="Inter" w:hAnsi="Inter"/>
        </w:rPr>
        <w:t>taux de contrats correctement rattachés ;</w:t>
      </w:r>
    </w:p>
    <w:p>
      <w:pPr>
        <w:pStyle w:val="ListBullet"/>
        <w:spacing w:after="50"/>
        <w:ind w:left="312" w:hanging="102"/>
      </w:pPr>
      <w:r>
        <w:rPr>
          <w:rFonts w:ascii="Inter" w:hAnsi="Inter"/>
        </w:rPr>
        <w:t>part des audits lancés sans intervention ;</w:t>
      </w:r>
    </w:p>
    <w:p>
      <w:pPr>
        <w:pStyle w:val="ListBullet"/>
        <w:spacing w:after="50"/>
        <w:ind w:left="312" w:hanging="102"/>
      </w:pPr>
      <w:r>
        <w:rPr>
          <w:rFonts w:ascii="Inter" w:hAnsi="Inter"/>
        </w:rPr>
        <w:t>temps moyen de traitement par dossier ;</w:t>
      </w:r>
    </w:p>
    <w:p>
      <w:pPr>
        <w:pStyle w:val="ListBullet"/>
        <w:spacing w:after="50"/>
        <w:ind w:left="312" w:hanging="102"/>
      </w:pPr>
      <w:r>
        <w:rPr>
          <w:rFonts w:ascii="Inter" w:hAnsi="Inter"/>
        </w:rPr>
        <w:t>nombre moyen de validations humaines par contrat ;</w:t>
      </w:r>
    </w:p>
    <w:p>
      <w:pPr>
        <w:pStyle w:val="ListBullet"/>
        <w:spacing w:after="50"/>
        <w:ind w:left="312" w:hanging="102"/>
      </w:pPr>
      <w:r>
        <w:rPr>
          <w:rFonts w:ascii="Inter" w:hAnsi="Inter"/>
        </w:rPr>
        <w:t>taux de réponses compagnies et efficacité des relances ;</w:t>
      </w:r>
    </w:p>
    <w:p>
      <w:pPr>
        <w:pStyle w:val="ListBullet"/>
        <w:spacing w:after="50"/>
        <w:ind w:left="312" w:hanging="102"/>
      </w:pPr>
      <w:r>
        <w:rPr>
          <w:rFonts w:ascii="Inter" w:hAnsi="Inter"/>
        </w:rPr>
        <w:t>temps de cycle LPP.</w:t>
      </w:r>
    </w:p>
    <w:p>
      <w:pPr>
        <w:pStyle w:val="Heading2"/>
        <w:keepNext/>
        <w:spacing w:before="160" w:after="80"/>
      </w:pPr>
      <w:r>
        <w:rPr/>
        <w:t>92.3 Rétention et qualité</w:t>
      </w:r>
    </w:p>
    <w:p>
      <w:pPr>
        <w:pStyle w:val="ListBullet"/>
        <w:spacing w:after="50"/>
        <w:ind w:left="312" w:hanging="102"/>
      </w:pPr>
      <w:r>
        <w:rPr>
          <w:rFonts w:ascii="Inter" w:hAnsi="Inter"/>
        </w:rPr>
        <w:t>ouverture du Health Check annuel ;</w:t>
      </w:r>
    </w:p>
    <w:p>
      <w:pPr>
        <w:pStyle w:val="ListBullet"/>
        <w:spacing w:after="50"/>
        <w:ind w:left="312" w:hanging="102"/>
      </w:pPr>
      <w:r>
        <w:rPr>
          <w:rFonts w:ascii="Inter" w:hAnsi="Inter"/>
        </w:rPr>
        <w:t>taux d’actions après recommandation ;</w:t>
      </w:r>
    </w:p>
    <w:p>
      <w:pPr>
        <w:pStyle w:val="ListBullet"/>
        <w:spacing w:after="50"/>
        <w:ind w:left="312" w:hanging="102"/>
      </w:pPr>
      <w:r>
        <w:rPr>
          <w:rFonts w:ascii="Inter" w:hAnsi="Inter"/>
        </w:rPr>
        <w:t>retour mensuel ou trimestriel dans Wallet ;</w:t>
      </w:r>
    </w:p>
    <w:p>
      <w:pPr>
        <w:pStyle w:val="ListBullet"/>
        <w:spacing w:after="50"/>
        <w:ind w:left="312" w:hanging="102"/>
      </w:pPr>
      <w:r>
        <w:rPr>
          <w:rFonts w:ascii="Inter" w:hAnsi="Inter"/>
        </w:rPr>
        <w:t>écart entre résultats automatiques et validation humaine ;</w:t>
      </w:r>
    </w:p>
    <w:p>
      <w:pPr>
        <w:pStyle w:val="ListBullet"/>
        <w:spacing w:after="50"/>
        <w:ind w:left="312" w:hanging="102"/>
      </w:pPr>
      <w:r>
        <w:rPr>
          <w:rFonts w:ascii="Inter" w:hAnsi="Inter"/>
        </w:rPr>
        <w:t>taux de données sourcées et vérifiées ;</w:t>
      </w:r>
    </w:p>
    <w:p>
      <w:pPr>
        <w:pStyle w:val="ListBullet"/>
        <w:spacing w:after="50"/>
        <w:ind w:left="312" w:hanging="102"/>
      </w:pPr>
      <w:r>
        <w:rPr>
          <w:rFonts w:ascii="Inter" w:hAnsi="Inter"/>
        </w:rPr>
        <w:t>reproductibilité des analyses lors des tests.</w:t>
      </w:r>
    </w:p>
    <w:p>
      <w:pPr>
        <w:pStyle w:val="Heading2"/>
        <w:spacing w:before="160" w:after="80"/>
      </w:pPr>
      <w:r>
        <w:rPr/>
        <w:t>92.4 Pilotage commercial et opérations</w:t>
      </w:r>
    </w:p>
    <w:p>
      <w:pPr>
        <w:pStyle w:val="ListBullet"/>
        <w:spacing w:after="50"/>
        <w:ind w:left="312" w:hanging="102"/>
      </w:pPr>
      <w:r>
        <w:rPr>
          <w:rFonts w:ascii="Inter" w:hAnsi="Inter"/>
        </w:rPr>
        <w:t>volume de leads et d’opportunités par source, étape et responsable ;</w:t>
      </w:r>
    </w:p>
    <w:p>
      <w:pPr>
        <w:pStyle w:val="ListBullet"/>
        <w:spacing w:after="50"/>
        <w:ind w:left="312" w:hanging="102"/>
      </w:pPr>
      <w:r>
        <w:rPr>
          <w:rFonts w:ascii="Inter" w:hAnsi="Inter"/>
        </w:rPr>
        <w:t>taux lead -&gt; rendez-vous, rendez-vous -&gt; proposition et proposition -&gt; client ;</w:t>
      </w:r>
    </w:p>
    <w:p>
      <w:pPr>
        <w:pStyle w:val="ListBullet"/>
        <w:spacing w:after="50"/>
        <w:ind w:left="312" w:hanging="102"/>
      </w:pPr>
      <w:r>
        <w:rPr>
          <w:rFonts w:ascii="Inter" w:hAnsi="Inter"/>
        </w:rPr>
        <w:t>part des leads et dossiers actifs possédant une prochaine action datée ;</w:t>
      </w:r>
    </w:p>
    <w:p>
      <w:pPr>
        <w:pStyle w:val="ListBullet"/>
        <w:spacing w:after="50"/>
        <w:ind w:left="312" w:hanging="102"/>
      </w:pPr>
      <w:r>
        <w:rPr>
          <w:rFonts w:ascii="Inter" w:hAnsi="Inter"/>
        </w:rPr>
        <w:t>temps moyen depuis la dernière activité et nombre de tâches en retard ;</w:t>
      </w:r>
    </w:p>
    <w:p>
      <w:pPr>
        <w:pStyle w:val="ListBullet"/>
        <w:spacing w:after="50"/>
        <w:ind w:left="312" w:hanging="102"/>
      </w:pPr>
      <w:r>
        <w:rPr>
          <w:rFonts w:ascii="Inter" w:hAnsi="Inter"/>
        </w:rPr>
        <w:t>temps de cycle par type de dossier et respect des SLA ;</w:t>
      </w:r>
    </w:p>
    <w:p>
      <w:pPr>
        <w:pStyle w:val="ListBullet"/>
        <w:spacing w:after="50"/>
        <w:ind w:left="312" w:hanging="102"/>
      </w:pPr>
      <w:r>
        <w:rPr>
          <w:rFonts w:ascii="Inter" w:hAnsi="Inter"/>
        </w:rPr>
        <w:t>pipeline brut, pipeline pondéré, revenu signé et revenu encaissé ;</w:t>
      </w:r>
    </w:p>
    <w:p>
      <w:pPr>
        <w:pStyle w:val="ListBullet"/>
        <w:spacing w:after="50"/>
        <w:ind w:left="312" w:hanging="102"/>
      </w:pPr>
      <w:r>
        <w:rPr>
          <w:rFonts w:ascii="Inter" w:hAnsi="Inter"/>
        </w:rPr>
        <w:t>précision du forecast à 30, 60 et 90 jours ;</w:t>
      </w:r>
    </w:p>
    <w:p>
      <w:pPr>
        <w:pStyle w:val="ListBullet"/>
        <w:spacing w:after="50"/>
        <w:ind w:left="312" w:hanging="102"/>
      </w:pPr>
      <w:r>
        <w:rPr>
          <w:rFonts w:ascii="Inter" w:hAnsi="Inter"/>
        </w:rPr>
        <w:t>progression vers les objectifs mensuels, trimestriels et annuels ;</w:t>
      </w:r>
    </w:p>
    <w:p>
      <w:pPr>
        <w:pStyle w:val="ListBullet"/>
        <w:spacing w:after="50"/>
        <w:ind w:left="312" w:hanging="102"/>
      </w:pPr>
      <w:r>
        <w:rPr>
          <w:rFonts w:ascii="Inter" w:hAnsi="Inter"/>
        </w:rPr>
        <w:t>taux de rapprochement automatique des emails et événements calendrier ;</w:t>
      </w:r>
    </w:p>
    <w:p>
      <w:pPr>
        <w:pStyle w:val="ListBullet"/>
        <w:spacing w:after="50"/>
        <w:ind w:left="312" w:hanging="102"/>
      </w:pPr>
      <w:r>
        <w:rPr>
          <w:rFonts w:ascii="Inter" w:hAnsi="Inter"/>
        </w:rPr>
        <w:t>nombre d’emails non rattachés, de synchronisations échouées et d’exceptions manuelles.</w:t>
      </w:r>
    </w:p>
    <w:p>
      <w:pPr>
        <w:pStyle w:val="Heading2"/>
        <w:spacing w:before="160" w:after="80"/>
      </w:pPr>
      <w:r>
        <w:rPr/>
        <w:t>92.5 Copilote IA et productivité</w:t>
      </w:r>
    </w:p>
    <w:p>
      <w:pPr>
        <w:pStyle w:val="ListBullet"/>
      </w:pPr>
      <w:r>
        <w:t>utilisateurs actifs du copilote et fréquence d’usage par surface ;</w:t>
      </w:r>
    </w:p>
    <w:p>
      <w:pPr>
        <w:pStyle w:val="ListBullet"/>
      </w:pPr>
      <w:r>
        <w:t>temps médian économisé pour créer, mettre à jour ou clôturer un dossier ;</w:t>
      </w:r>
    </w:p>
    <w:p>
      <w:pPr>
        <w:pStyle w:val="ListBullet"/>
      </w:pPr>
      <w:r>
        <w:t>part des tâches, notes, comptes rendus et prochaines actions créées par commande ou dictée ;</w:t>
      </w:r>
    </w:p>
    <w:p>
      <w:pPr>
        <w:pStyle w:val="ListBullet"/>
      </w:pPr>
      <w:r>
        <w:t>taux de réussite des appels d’outils et taux de correction manuelle après exécution ;</w:t>
      </w:r>
    </w:p>
    <w:p>
      <w:pPr>
        <w:pStyle w:val="ListBullet"/>
      </w:pPr>
      <w:r>
        <w:t>part des pièces jointes correctement rattachées et matérialisées depuis le chat ;</w:t>
      </w:r>
    </w:p>
    <w:p>
      <w:pPr>
        <w:pStyle w:val="ListBullet"/>
      </w:pPr>
      <w:r>
        <w:t>taux de propositions confirmées, modifiées, refusées ou annulées ;</w:t>
      </w:r>
    </w:p>
    <w:p>
      <w:pPr>
        <w:pStyle w:val="ListBullet"/>
      </w:pPr>
      <w:r>
        <w:t>taux de commandes vocales correctement transcrites après correction utilisateur ;</w:t>
      </w:r>
    </w:p>
    <w:p>
      <w:pPr>
        <w:pStyle w:val="ListBullet"/>
      </w:pPr>
      <w:r>
        <w:t>incidents de permission, injections détectées, actions sensibles bloquées et absence de fuite inter-client.</w:t>
      </w:r>
    </w:p>
    <w:p>
      <w:pPr>
        <w:pStyle w:val="Heading2"/>
        <w:spacing w:before="160" w:after="80"/>
      </w:pPr>
      <w:r>
        <w:t>92.6 Assistant de couverture, carte et fidélité</w:t>
      </w:r>
    </w:p>
    <w:p>
      <w:pPr>
        <w:pStyle w:val="ListBullet"/>
      </w:pPr>
      <w:r>
        <w:t>nombre de questions de couverture, taux de complétion et répartition par type de contrat ;</w:t>
      </w:r>
    </w:p>
    <w:p>
      <w:pPr>
        <w:pStyle w:val="ListBullet"/>
      </w:pPr>
      <w:r>
        <w:t>part des réponses accompagnées de sources valides, taux d’incertitude et taux d’escalade ;</w:t>
      </w:r>
    </w:p>
    <w:p>
      <w:pPr>
        <w:pStyle w:val="ListBullet"/>
      </w:pPr>
      <w:r>
        <w:t>satisfaction, taux de résolution sans contact et délai moyen jusqu’à une action utile ;</w:t>
      </w:r>
    </w:p>
    <w:p>
      <w:pPr>
        <w:pStyle w:val="ListBullet"/>
      </w:pPr>
      <w:r>
        <w:t>cartes émises, taux d’ajout, utilisateurs actifs et ouvertures vers Wallet ;</w:t>
      </w:r>
    </w:p>
    <w:p>
      <w:pPr>
        <w:pStyle w:val="ListBullet"/>
      </w:pPr>
      <w:r>
        <w:t>Miles gagnés, pending, disponibles, expirés, reversés, utilisés et responsabilité estimée en circulation ;</w:t>
      </w:r>
    </w:p>
    <w:p>
      <w:pPr>
        <w:pStyle w:val="ListBullet"/>
      </w:pPr>
      <w:r>
        <w:t>taux de redemption, délai d’utilisation, panier de rewards, coût moyen et rupture de stock ;</w:t>
      </w:r>
    </w:p>
    <w:p>
      <w:pPr>
        <w:pStyle w:val="ListBullet"/>
      </w:pPr>
      <w:r>
        <w:t>nombre d’offres partenaires actives, validations, erreurs, litiges, fraude et précision des règlements ;</w:t>
      </w:r>
    </w:p>
    <w:p>
      <w:pPr>
        <w:pStyle w:val="ListBullet"/>
      </w:pPr>
      <w:r>
        <w:t>effet observé sur la fréquence d’usage de Wallet, la rétention et la participation aux revues ou formations.</w:t>
      </w:r>
    </w:p>
    <w:p>
      <w:pPr>
        <w:pStyle w:val="Heading2"/>
        <w:keepNext/>
        <w:spacing w:before="160" w:after="80"/>
      </w:pPr>
      <w:r>
        <w:t>92.7 Indicateurs Retire proposés</w:t>
      </w:r>
    </w:p>
    <w:p>
      <w:pPr>
        <w:pStyle w:val="ListBullet"/>
        <w:keepNext w:val="0"/>
      </w:pPr>
      <w:r>
        <w:t>Conversion Check -&gt; sauvegarde Wallet -&gt; Plan -&gt; Strategy ; déduction effective du crédit de montée en gamme.</w:t>
      </w:r>
    </w:p>
    <w:p>
      <w:pPr>
        <w:pStyle w:val="ListBullet"/>
        <w:keepNext w:val="0"/>
      </w:pPr>
      <w:r>
        <w:t>Care actif, payant ou inclus ; renouvellements, résiliations, revues ponctuelles, coût de service et marge par foyer.</w:t>
      </w:r>
    </w:p>
    <w:p>
      <w:pPr>
        <w:pStyle w:val="ListBullet"/>
        <w:keepNext w:val="0"/>
      </w:pPr>
      <w:r>
        <w:t>Complétude des sources LPP / budget / EMS ; erreurs, durée, coût et stabilité des calculs par profil.</w:t>
      </w:r>
    </w:p>
    <w:p>
      <w:pPr>
        <w:pStyle w:val="ListBullet"/>
        <w:keepNext w:val="0"/>
      </w:pPr>
      <w:r>
        <w:t>Alertes utiles, délai de prise en charge, taux de revue et décisions actualisées ; comparaison explicable des versions.</w:t>
      </w:r>
    </w:p>
    <w:p>
      <w:pPr>
        <w:pStyle w:val="ListBullet"/>
        <w:keepNext w:val="0"/>
      </w:pPr>
      <w:r>
        <w:t>Les probabilités du modèle, la conversion commerciale et les revenus réalisés restent trois familles d’indicateurs distinctes.</w:t>
      </w:r>
    </w:p>
    <w:p>
      <w:pPr>
        <w:pStyle w:val="Heading1"/>
        <w:keepNext/>
        <w:spacing w:before="200" w:after="100"/>
      </w:pPr>
      <w:r>
        <w:rPr/>
        <w:t>93. Definition of Done transversale</w:t>
      </w:r>
    </w:p>
    <w:p>
      <w:pPr>
        <w:spacing w:after="60"/>
        <w:ind w:left="312" w:hanging="238"/>
      </w:pPr>
      <w:r>
        <w:rPr>
          <w:rFonts w:ascii="Inter" w:hAnsi="Inter"/>
          <w:b/>
          <w:color w:val="6D4AFF"/>
        </w:rPr>
        <w:t xml:space="preserve">1. </w:t>
      </w:r>
      <w:r>
        <w:rPr>
          <w:rFonts w:ascii="Inter" w:hAnsi="Inter"/>
        </w:rPr>
        <w:t>L’objet métier possède un identifiant canonique et n’est pas dupliqué dans une autre application.</w:t>
      </w:r>
    </w:p>
    <w:p>
      <w:pPr>
        <w:spacing w:after="60"/>
        <w:ind w:left="312" w:hanging="238"/>
      </w:pPr>
      <w:r>
        <w:rPr>
          <w:rFonts w:ascii="Inter" w:hAnsi="Inter"/>
          <w:b/>
          <w:color w:val="6D4AFF"/>
        </w:rPr>
        <w:t xml:space="preserve">2. </w:t>
      </w:r>
      <w:r>
        <w:rPr>
          <w:rFonts w:ascii="Inter" w:hAnsi="Inter"/>
        </w:rPr>
        <w:t>Les droits sont contrôlés par le backend et testés.</w:t>
      </w:r>
    </w:p>
    <w:p>
      <w:pPr>
        <w:spacing w:after="60"/>
        <w:ind w:left="312" w:hanging="238"/>
      </w:pPr>
      <w:r>
        <w:rPr>
          <w:rFonts w:ascii="Inter" w:hAnsi="Inter"/>
          <w:b/>
          <w:color w:val="6D4AFF"/>
        </w:rPr>
        <w:t xml:space="preserve">3. </w:t>
      </w:r>
      <w:r>
        <w:rPr>
          <w:rFonts w:ascii="Inter" w:hAnsi="Inter"/>
        </w:rPr>
        <w:t>Les écritures sensibles sont auditées.</w:t>
      </w:r>
    </w:p>
    <w:p>
      <w:pPr>
        <w:spacing w:after="60"/>
        <w:ind w:left="312" w:hanging="238"/>
      </w:pPr>
      <w:r>
        <w:rPr>
          <w:rFonts w:ascii="Inter" w:hAnsi="Inter"/>
          <w:b/>
          <w:color w:val="6D4AFF"/>
        </w:rPr>
        <w:t xml:space="preserve">4. </w:t>
      </w:r>
      <w:r>
        <w:rPr>
          <w:rFonts w:ascii="Inter" w:hAnsi="Inter"/>
        </w:rPr>
        <w:t>La source, la date et le niveau de confiance sont enregistrés lorsque nécessaires.</w:t>
      </w:r>
    </w:p>
    <w:p>
      <w:pPr>
        <w:spacing w:after="60"/>
        <w:ind w:left="312" w:hanging="238"/>
      </w:pPr>
      <w:r>
        <w:rPr>
          <w:rFonts w:ascii="Inter" w:hAnsi="Inter"/>
          <w:b/>
          <w:color w:val="6D4AFF"/>
        </w:rPr>
        <w:t xml:space="preserve">5. </w:t>
      </w:r>
      <w:r>
        <w:rPr>
          <w:rFonts w:ascii="Inter" w:hAnsi="Inter"/>
        </w:rPr>
        <w:t>Le résultat conserve les versions et hypothèses nécessaires à sa reproduction.</w:t>
      </w:r>
    </w:p>
    <w:p>
      <w:pPr>
        <w:spacing w:after="60"/>
        <w:ind w:left="312" w:hanging="238"/>
      </w:pPr>
      <w:r>
        <w:rPr>
          <w:rFonts w:ascii="Inter" w:hAnsi="Inter"/>
          <w:b/>
          <w:color w:val="6D4AFF"/>
        </w:rPr>
        <w:t xml:space="preserve">6. </w:t>
      </w:r>
      <w:r>
        <w:rPr>
          <w:rFonts w:ascii="Inter" w:hAnsi="Inter"/>
        </w:rPr>
        <w:t>L’expérience anonyme peut être rattachée à un compte sans perte.</w:t>
      </w:r>
    </w:p>
    <w:p>
      <w:pPr>
        <w:spacing w:after="60"/>
        <w:ind w:left="312" w:hanging="238"/>
      </w:pPr>
      <w:r>
        <w:rPr>
          <w:rFonts w:ascii="Inter" w:hAnsi="Inter"/>
          <w:b/>
          <w:color w:val="6D4AFF"/>
        </w:rPr>
        <w:t xml:space="preserve">7. </w:t>
      </w:r>
      <w:r>
        <w:rPr>
          <w:rFonts w:ascii="Inter" w:hAnsi="Inter"/>
        </w:rPr>
        <w:t>Les erreurs et exceptions sont visibles dans Admin.</w:t>
      </w:r>
    </w:p>
    <w:p>
      <w:pPr>
        <w:spacing w:after="60"/>
        <w:ind w:left="312" w:hanging="238"/>
      </w:pPr>
      <w:r>
        <w:rPr>
          <w:rFonts w:ascii="Inter" w:hAnsi="Inter"/>
          <w:b/>
          <w:color w:val="6D4AFF"/>
        </w:rPr>
        <w:t xml:space="preserve">8. </w:t>
      </w:r>
      <w:r>
        <w:rPr>
          <w:rFonts w:ascii="Inter" w:hAnsi="Inter"/>
        </w:rPr>
        <w:t>Les notifications évitent les dossiers silencieusement bloqués.</w:t>
      </w:r>
    </w:p>
    <w:p>
      <w:pPr>
        <w:spacing w:after="60"/>
        <w:ind w:left="312" w:hanging="238"/>
      </w:pPr>
      <w:r>
        <w:rPr>
          <w:rFonts w:ascii="Inter" w:hAnsi="Inter"/>
          <w:b/>
          <w:color w:val="6D4AFF"/>
        </w:rPr>
        <w:t xml:space="preserve">9. </w:t>
      </w:r>
      <w:r>
        <w:rPr>
          <w:rFonts w:ascii="Inter" w:hAnsi="Inter"/>
        </w:rPr>
        <w:t>Les textes distinguent historique, projection et garantie.</w:t>
      </w:r>
    </w:p>
    <w:p>
      <w:pPr>
        <w:spacing w:after="60"/>
        <w:ind w:left="312" w:hanging="238"/>
      </w:pPr>
      <w:r>
        <w:rPr>
          <w:rFonts w:ascii="Inter" w:hAnsi="Inter"/>
          <w:b/>
          <w:color w:val="6D4AFF"/>
        </w:rPr>
        <w:t xml:space="preserve">10. </w:t>
      </w:r>
      <w:r>
        <w:rPr>
          <w:rFonts w:ascii="Inter" w:hAnsi="Inter"/>
        </w:rPr>
        <w:t>Les montants distinguent CHF réels et CHF nominaux.</w:t>
      </w:r>
    </w:p>
    <w:p>
      <w:pPr>
        <w:spacing w:after="60"/>
        <w:ind w:left="312" w:hanging="238"/>
      </w:pPr>
      <w:r>
        <w:rPr>
          <w:rFonts w:ascii="Inter" w:hAnsi="Inter"/>
          <w:b/>
          <w:color w:val="6D4AFF"/>
        </w:rPr>
        <w:t xml:space="preserve">11. </w:t>
      </w:r>
      <w:r>
        <w:rPr>
          <w:rFonts w:ascii="Inter" w:hAnsi="Inter"/>
        </w:rPr>
        <w:t>La fonctionnalité fonctionne sur le site ou l’application prévue et ses objets sont retrouvables dans Wallet lorsque pertinent.</w:t>
      </w:r>
    </w:p>
    <w:p>
      <w:pPr>
        <w:spacing w:after="60"/>
        <w:ind w:left="312" w:hanging="238"/>
      </w:pPr>
      <w:r>
        <w:rPr>
          <w:rFonts w:ascii="Inter" w:hAnsi="Inter"/>
          <w:b/>
          <w:color w:val="6D4AFF"/>
        </w:rPr>
        <w:t xml:space="preserve">12. </w:t>
      </w:r>
      <w:r>
        <w:rPr>
          <w:rFonts w:ascii="Inter" w:hAnsi="Inter"/>
        </w:rPr>
        <w:t>Les événements analytics et opérationnels nécessaires sont émis.</w:t>
      </w:r>
    </w:p>
    <w:p>
      <w:pPr/>
      <w:r>
        <w:rPr>
          <w:b/>
          <w:color w:val="6D4AFF"/>
        </w:rPr>
        <w:t xml:space="preserve">13. </w:t>
      </w:r>
      <w:r>
        <w:t>Tout bloc de résultats probabilistes indique une fois et de façon visible le nombre de simulations effectivement utilisé, sans répéter cette information sous chaque probabilité.</w:t>
      </w:r>
    </w:p>
    <w:p>
      <w:pPr/>
      <w:r>
        <w:t>14. Tout lead, toute opportunité et tout dossier actif possède un responsable, un statut, une prochaine action et une échéance, sauf justification explicite.</w:t>
      </w:r>
    </w:p>
    <w:p>
      <w:pPr/>
      <w:r>
        <w:t>15. Les emails, rendez-vous, notes, tâches et documents pertinents alimentent une timeline commune et auditable.</w:t>
      </w:r>
    </w:p>
    <w:p>
      <w:pPr/>
      <w:r>
        <w:t>16. Les dashboards permettent de remonter de chaque indicateur jusqu’aux objets qui le composent.</w:t>
      </w:r>
    </w:p>
    <w:p>
      <w:pPr/>
      <w:r>
        <w:t>17. Les revenus estimés, pondérés, signés, acquis, facturés, dus et encaissés sont distingués sans ambiguïté.</w:t>
      </w:r>
    </w:p>
    <w:p>
      <w:pPr/>
      <w:r>
        <w:t>18. Une erreur de synchronisation Gmail ou Calendar ne peut pas bloquer silencieusement un dossier : elle devient visible et actionnable dans Admin.</w:t>
      </w:r>
    </w:p>
    <w:p>
      <w:pPr/>
      <w:r>
        <w:t>19. Toute action initiée par le copilote passe par une action métier typée, réautorise l’utilisateur côté backend et ne dépend jamais d’un accès direct du LLM à la base.</w:t>
      </w:r>
    </w:p>
    <w:p>
      <w:pPr/>
      <w:r>
        <w:t>20. Le contexte actif du chat est visible ; les objets lus, proposés ou modifiés sont identifiables et accessibles par lien lorsque l’utilisateur en possède les droits.</w:t>
      </w:r>
    </w:p>
    <w:p>
      <w:pPr/>
      <w:r>
        <w:t>21. Une action sensible affiche un aperçu suffisamment précis et requiert une confirmation attachée à cette version du plan.</w:t>
      </w:r>
    </w:p>
    <w:p>
      <w:pPr/>
      <w:r>
        <w:t>22. Les pièces jointes conservent leur original, leur source, leur statut de traitement, leur confiance, leurs conflits et les métadonnées créées.</w:t>
      </w:r>
    </w:p>
    <w:p>
      <w:pPr/>
      <w:r>
        <w:t>23. Une dictée ou commande vocale possède une transcription révisable avant toute exécution sensible et respecte la politique de conservation audio.</w:t>
      </w:r>
    </w:p>
    <w:p>
      <w:pPr/>
      <w:r>
        <w:t>24. Les messages, actions, appels d’outils, approbations, erreurs, annulations et compensations sont présents dans l’audit trail.</w:t>
      </w:r>
    </w:p>
    <w:p>
      <w:pPr/>
      <w:r>
        <w:t>25. La désactivation du copilote ou d’un fournisseur LLM ne rend aucune donnée métier inaccessible et n’empêche pas le pilotage manuel d’Admin.</w:t>
      </w:r>
    </w:p>
    <w:p>
      <w:pPr/>
      <w:r>
        <w:t>26. Toute réponse de couverture identifie les contrats et versions utilisés, cite des passages réellement récupérés, affiche son niveau de prudence et distingue explicitement aide à la compréhension et décision définitive de prise en charge.</w:t>
      </w:r>
    </w:p>
    <w:p>
      <w:pPr/>
      <w:r>
        <w:t>27. Une réponse incertaine, contradictoire, urgente ou à fort impact peut être transformée en dossier humain sans perte du scénario, des pièces, des sources ni de la timeline.</w:t>
      </w:r>
    </w:p>
    <w:p>
      <w:pPr/>
      <w:r>
        <w:t>28. La carte digitale n’embarque aucun secret ni donnée sensible ; son jeton est opaque, validé côté serveur, révocable et séparé de l’authentification CoverView.</w:t>
      </w:r>
    </w:p>
    <w:p>
      <w:pPr/>
      <w:r>
        <w:t>29. Tout mouvement de Miles correspond à une écriture de ledger immuable, idempotente et attribuable à une règle, une source et un statut ; aucune double dépense n’est possible.</w:t>
      </w:r>
    </w:p>
    <w:p>
      <w:pPr/>
      <w:r>
        <w:t>30. Toute redemption vérifie solde, éligibilité, stock, expiration, limites et fraude dans une transaction cohérente, puis produit un entitlement ou voucher traçable.</w:t>
      </w:r>
    </w:p>
    <w:p>
      <w:pPr/>
      <w:r>
        <w:t>31. Un ajustement, reversal, litige ou règlement partenaire conserve son motif, son auteur, ses preuves, son approbation et son impact comptable.</w:t>
      </w:r>
    </w:p>
    <w:p>
      <w:pPr/>
      <w:r>
        <w:t>32. Les avantages liés à une assurance, les Miles attribués à la signature et toute forme de cashback ne sont activés qu’après validation des règles juridiques, fiscales, comptables et de conformité.</w:t>
      </w:r>
    </w:p>
    <w:p>
      <w:pPr>
        <w:keepNext w:val="0"/>
      </w:pPr>
      <w:r>
        <w:t>33. Retire est une entrée de Wallet reliée au foyer et à la base commune, sans plateforme ni copies de données séparées.</w:t>
      </w:r>
    </w:p>
    <w:p>
      <w:pPr>
        <w:keepNext w:val="0"/>
      </w:pPr>
      <w:r>
        <w:t>34. Les treize sections de [RET-1] sont couvertes ; prix, allocations et seuils sont identifiés comme références versionnées, non comme résultats validés.</w:t>
      </w:r>
    </w:p>
    <w:p>
      <w:pPr>
        <w:keepNext w:val="0"/>
      </w:pPr>
      <w:r>
        <w:t>35. Les options rente/capital/mix utilisent les règles de caisse documentées ; les données manquantes et restrictions sont explicites.</w:t>
      </w:r>
    </w:p>
    <w:p>
      <w:pPr>
        <w:keepNext w:val="0"/>
      </w:pPr>
      <w:r>
        <w:t>36. Les budgets distinguent réel / nominal, essentiel / confort / idéal et phases de vie ; les coûts EMS sont nets des dépenses remplacées.</w:t>
      </w:r>
    </w:p>
    <w:p>
      <w:pPr>
        <w:keepNext w:val="0"/>
      </w:pPr>
      <w:r>
        <w:t>37. Goal Probability, Real Income Success Rate et Retirement Range conservent leur définition et horizon propres ; les conventions manquantes sont résolues avant publication.</w:t>
      </w:r>
    </w:p>
    <w:p>
      <w:pPr>
        <w:keepNext w:val="0"/>
      </w:pPr>
      <w:r>
        <w:t>38. N exécuté est affiché une fois ; la cible Retire de 100’000 ne remplace ni le défaut général de 10’000 ni la mesure réelle du job.</w:t>
      </w:r>
    </w:p>
    <w:p>
      <w:pPr>
        <w:keepNext w:val="0"/>
      </w:pPr>
      <w:r>
        <w:t>39. Chaque résultat conserve le plan, ses sources, les règles de caisse, le profil de vie, la politique Cascade, les moteurs et hypothèses nécessaires à sa reproduction.</w:t>
      </w:r>
    </w:p>
    <w:p>
      <w:pPr>
        <w:keepNext w:val="0"/>
      </w:pPr>
      <w:r>
        <w:t>40. Plan, Strategy, Care et Review possèdent des droits explicites ; le crédit de CHF 390 est appliqué une seule fois et l’achat ne crée pas une facturation par simulation.</w:t>
      </w:r>
    </w:p>
    <w:p>
      <w:pPr>
        <w:keepNext w:val="0"/>
      </w:pPr>
      <w:r>
        <w:t>41. Une alerte Retire peut devenir un dossier ou une tâche avec responsable et prochaine action ; une simulation seule ne déclenche aucun acte financier.</w:t>
      </w:r>
    </w:p>
    <w:p>
      <w:pPr>
        <w:keepNext w:val="0"/>
      </w:pPr>
      <w:r>
        <w:t>42. Les conditions commerciales, les conventions de modèle et les validations citées par [RET-1] sont formalisées avant activation du périmètre concerné.</w:t>
      </w:r>
    </w:p>
    <w:p>
      <w:pPr>
        <w:pStyle w:val="Heading1"/>
        <w:keepNext/>
        <w:spacing w:before="200" w:after="100"/>
      </w:pPr>
      <w:r>
        <w:rPr/>
        <w:t>94. Décisions encore à formaliser</w:t>
      </w:r>
    </w:p>
    <w:p>
      <w:pPr>
        <w:pStyle w:val="ListBullet"/>
        <w:spacing w:after="50"/>
        <w:ind w:left="312" w:hanging="102"/>
      </w:pPr>
      <w:r>
        <w:rPr>
          <w:rFonts w:ascii="Inter" w:hAnsi="Inter"/>
        </w:rPr>
        <w:t>fournisseur et niveau de signature électronique par document ;</w:t>
      </w:r>
    </w:p>
    <w:p>
      <w:pPr>
        <w:pStyle w:val="ListBullet"/>
        <w:spacing w:after="50"/>
        <w:ind w:left="312" w:hanging="102"/>
      </w:pPr>
      <w:r>
        <w:rPr>
          <w:rFonts w:ascii="Inter" w:hAnsi="Inter"/>
        </w:rPr>
        <w:t>politique de conservation des pièces d’identité et documents médicaux ;</w:t>
      </w:r>
    </w:p>
    <w:p>
      <w:pPr>
        <w:pStyle w:val="ListBullet"/>
        <w:spacing w:after="50"/>
        <w:ind w:left="312" w:hanging="102"/>
      </w:pPr>
      <w:r>
        <w:rPr>
          <w:rFonts w:ascii="Inter" w:hAnsi="Inter"/>
        </w:rPr>
        <w:t>méthode probabiliste par défaut et traitement des corrélations ;</w:t>
      </w:r>
    </w:p>
    <w:p>
      <w:pPr>
        <w:pStyle w:val="ListBullet"/>
        <w:spacing w:after="50"/>
        <w:ind w:left="312" w:hanging="102"/>
      </w:pPr>
      <w:r>
        <w:rPr>
          <w:rFonts w:ascii="Inter" w:hAnsi="Inter"/>
        </w:rPr>
        <w:t>définition exacte et pondérations du CoverView Score ;</w:t>
      </w:r>
    </w:p>
    <w:p>
      <w:pPr>
        <w:pStyle w:val="ListBullet"/>
        <w:spacing w:after="50"/>
        <w:ind w:left="312" w:hanging="102"/>
      </w:pPr>
      <w:r>
        <w:rPr>
          <w:rFonts w:ascii="Inter" w:hAnsi="Inter"/>
        </w:rPr>
        <w:t>méthode de calcul de l’Investment Age ;</w:t>
      </w:r>
    </w:p>
    <w:p>
      <w:pPr>
        <w:pStyle w:val="ListBullet"/>
        <w:spacing w:after="50"/>
        <w:ind w:left="312" w:hanging="102"/>
      </w:pPr>
      <w:r>
        <w:rPr>
          <w:rFonts w:ascii="Inter" w:hAnsi="Inter"/>
        </w:rPr>
        <w:t>construction des cohortes de benchmark ;</w:t>
      </w:r>
    </w:p>
    <w:p>
      <w:pPr>
        <w:pStyle w:val="ListBullet"/>
        <w:spacing w:after="50"/>
        <w:ind w:left="312" w:hanging="102"/>
      </w:pPr>
      <w:r>
        <w:rPr>
          <w:rFonts w:ascii="Inter" w:hAnsi="Inter"/>
        </w:rPr>
        <w:t>modèle de données des ménages et objectifs partagés ;</w:t>
      </w:r>
    </w:p>
    <w:p>
      <w:pPr>
        <w:pStyle w:val="ListBullet"/>
        <w:spacing w:after="50"/>
        <w:ind w:left="312" w:hanging="102"/>
      </w:pPr>
      <w:r>
        <w:rPr>
          <w:rFonts w:ascii="Inter" w:hAnsi="Inter"/>
        </w:rPr>
        <w:t>règles d’édition du catalogue depuis Intelligence ;</w:t>
      </w:r>
    </w:p>
    <w:p>
      <w:pPr>
        <w:pStyle w:val="ListBullet"/>
        <w:spacing w:after="50"/>
        <w:ind w:left="312" w:hanging="102"/>
      </w:pPr>
      <w:r>
        <w:rPr>
          <w:rFonts w:ascii="Inter" w:hAnsi="Inter"/>
        </w:rPr>
        <w:t>technologie de workflow et d’email ingress ;</w:t>
      </w:r>
    </w:p>
    <w:p>
      <w:pPr>
        <w:pStyle w:val="ListBullet"/>
        <w:spacing w:after="50"/>
        <w:ind w:left="312" w:hanging="102"/>
      </w:pPr>
      <w:r>
        <w:rPr>
          <w:rFonts w:ascii="Inter" w:hAnsi="Inter"/>
        </w:rPr>
        <w:t>périmètre légal des mandats et procurations ;</w:t>
      </w:r>
    </w:p>
    <w:p>
      <w:pPr>
        <w:pStyle w:val="ListBullet"/>
        <w:spacing w:after="50"/>
        <w:ind w:left="312" w:hanging="102"/>
      </w:pPr>
      <w:r>
        <w:rPr>
          <w:rFonts w:ascii="Inter" w:hAnsi="Inter"/>
        </w:rPr>
        <w:t>qualification réglementaire d’Exchange ;</w:t>
      </w:r>
    </w:p>
    <w:p>
      <w:pPr>
        <w:pStyle w:val="ListBullet"/>
        <w:spacing w:after="50"/>
        <w:ind w:left="312" w:hanging="102"/>
      </w:pPr>
      <w:r>
        <w:rPr>
          <w:rFonts w:ascii="Inter" w:hAnsi="Inter"/>
        </w:rPr>
        <w:t>seuils de confiance déclenchant une validation humaine.</w:t>
      </w:r>
    </w:p>
    <w:p>
      <w:pPr>
        <w:pStyle w:val="ListBullet"/>
        <w:spacing w:after="50"/>
        <w:ind w:left="312" w:hanging="102"/>
      </w:pPr>
      <w:r>
        <w:rPr>
          <w:rFonts w:ascii="Inter" w:hAnsi="Inter"/>
        </w:rPr>
        <w:t>étapes commerciales, règles de probabilité et méthode de scoring des opportunités ;</w:t>
      </w:r>
    </w:p>
    <w:p>
      <w:pPr>
        <w:pStyle w:val="ListBullet"/>
        <w:spacing w:after="50"/>
        <w:ind w:left="312" w:hanging="102"/>
      </w:pPr>
      <w:r>
        <w:rPr>
          <w:rFonts w:ascii="Inter" w:hAnsi="Inter"/>
        </w:rPr>
        <w:t>définitions du pipeline, des revenus estimés, acquis, facturés, encaissés et des commissions ;</w:t>
      </w:r>
    </w:p>
    <w:p>
      <w:pPr>
        <w:pStyle w:val="ListBullet"/>
        <w:spacing w:after="50"/>
        <w:ind w:left="312" w:hanging="102"/>
      </w:pPr>
      <w:r>
        <w:rPr>
          <w:rFonts w:ascii="Inter" w:hAnsi="Inter"/>
        </w:rPr>
        <w:t>modèle Project / Case / Task, templates, SLA et règles de prochaine action ;</w:t>
      </w:r>
    </w:p>
    <w:p>
      <w:pPr>
        <w:pStyle w:val="ListBullet"/>
        <w:spacing w:after="50"/>
        <w:ind w:left="312" w:hanging="102"/>
      </w:pPr>
      <w:r>
        <w:rPr>
          <w:rFonts w:ascii="Inter" w:hAnsi="Inter"/>
        </w:rPr>
        <w:t>périmètre Gmail et Google Calendar : comptes, labels, calendriers, rétention et permissions ;</w:t>
      </w:r>
    </w:p>
    <w:p>
      <w:pPr>
        <w:pStyle w:val="ListBullet"/>
        <w:spacing w:after="50"/>
        <w:ind w:left="312" w:hanging="102"/>
      </w:pPr>
      <w:r>
        <w:rPr>
          <w:rFonts w:ascii="Inter" w:hAnsi="Inter"/>
        </w:rPr>
        <w:t>règles de rapprochement, déduplication et résolution des conflits entre email, calendrier et base ;</w:t>
      </w:r>
    </w:p>
    <w:p>
      <w:pPr>
        <w:pStyle w:val="ListBullet"/>
        <w:spacing w:after="50"/>
        <w:ind w:left="312" w:hanging="102"/>
      </w:pPr>
      <w:r>
        <w:rPr>
          <w:rFonts w:ascii="Inter" w:hAnsi="Inter"/>
        </w:rPr>
        <w:t>granularité, fréquence et gouvernance des objectifs et forecasts ;</w:t>
      </w:r>
    </w:p>
    <w:p>
      <w:pPr>
        <w:pStyle w:val="ListBullet"/>
        <w:spacing w:after="50"/>
        <w:ind w:left="312" w:hanging="102"/>
      </w:pPr>
      <w:r>
        <w:rPr>
          <w:rFonts w:ascii="Inter" w:hAnsi="Inter"/>
        </w:rPr>
        <w:t>droits d’accès aux activités et données financières par rôle.</w:t>
      </w:r>
    </w:p>
    <w:p>
      <w:pPr>
        <w:pStyle w:val="ListBullet"/>
      </w:pPr>
      <w:r>
        <w:t>nom produit et emplacement exact du copilote : panneau global, command palette, onglets contextuels et historique ;</w:t>
      </w:r>
    </w:p>
    <w:p>
      <w:pPr>
        <w:pStyle w:val="ListBullet"/>
      </w:pPr>
      <w:r>
        <w:t>fournisseur(s) LLM, stratégie multi-modèle, résidence des données, rétention et usage éventuel des données par les fournisseurs ;</w:t>
      </w:r>
    </w:p>
    <w:p>
      <w:pPr>
        <w:pStyle w:val="ListBullet"/>
      </w:pPr>
      <w:r>
        <w:t>catalogue initial des actions IA, schémas d’entrée/sortie et matrice lecture / brouillon / exécution / confirmation / interdiction ;</w:t>
      </w:r>
    </w:p>
    <w:p>
      <w:pPr>
        <w:pStyle w:val="ListBullet"/>
      </w:pPr>
      <w:r>
        <w:t>politique de mémoire conversationnelle, contexte maximal et règles de partage des conversations par équipe ;</w:t>
      </w:r>
    </w:p>
    <w:p>
      <w:pPr>
        <w:pStyle w:val="ListBullet"/>
      </w:pPr>
      <w:r>
        <w:t>mécanismes de citations internes, qualité minimale et comportement lorsque la base ou les documents se contredisent ;</w:t>
      </w:r>
    </w:p>
    <w:p>
      <w:pPr>
        <w:pStyle w:val="ListBullet"/>
      </w:pPr>
      <w:r>
        <w:t>protection contre l’injection de prompt dans les emails, pages, PDF et autres pièces jointes non fiables ;</w:t>
      </w:r>
    </w:p>
    <w:p>
      <w:pPr>
        <w:pStyle w:val="ListBullet"/>
      </w:pPr>
      <w:r>
        <w:t>fournisseur de transcription, langues, vocabulaire métier, traitement des noms propres et politique de conservation audio ;</w:t>
      </w:r>
    </w:p>
    <w:p>
      <w:pPr>
        <w:pStyle w:val="ListBullet"/>
      </w:pPr>
      <w:r>
        <w:t>périmètre mobile/PWA, fonctionnement hors ligne éventuel et synchronisation des brouillons ;</w:t>
      </w:r>
    </w:p>
    <w:p>
      <w:pPr>
        <w:pStyle w:val="ListBullet"/>
      </w:pPr>
      <w:r>
        <w:t>actions réversibles, durée de la fenêtre d’annulation et mécanismes de compensation pour les actions externes ;</w:t>
      </w:r>
    </w:p>
    <w:p>
      <w:pPr>
        <w:pStyle w:val="ListBullet"/>
      </w:pPr>
      <w:r>
        <w:t>seuils de confiance déclenchant une question, une proposition, une validation ou une interdiction.</w:t>
      </w:r>
    </w:p>
    <w:p>
      <w:pPr>
        <w:pStyle w:val="ListBullet"/>
      </w:pPr>
      <w:r>
        <w:t>nom, emplacement et tonalité de l’assistant client : Chat, Suis-je couvert ?, Mon conseiller ou autre ;</w:t>
      </w:r>
    </w:p>
    <w:p>
      <w:pPr>
        <w:pStyle w:val="ListBullet"/>
      </w:pPr>
      <w:r>
        <w:t>hiérarchie exacte des sources contractuelles, catégories de réponse, seuils de confiance et cas d’escalade obligatoire ;</w:t>
      </w:r>
    </w:p>
    <w:p>
      <w:pPr>
        <w:pStyle w:val="ListBullet"/>
      </w:pPr>
      <w:r>
        <w:t>visibilité des conversations par CoverView, consentement au partage, rétention, export et suppression ;</w:t>
      </w:r>
    </w:p>
    <w:p>
      <w:pPr>
        <w:pStyle w:val="ListBullet"/>
      </w:pPr>
      <w:r>
        <w:t>fournisseur de pass, design de la carte, données affichées, deep links, mises à jour et procédure de révocation ;</w:t>
      </w:r>
    </w:p>
    <w:p>
      <w:pPr>
        <w:pStyle w:val="ListBullet"/>
      </w:pPr>
      <w:r>
        <w:t>identifiant et format du QR, rotation éventuelle, fonctionnement hors ligne et intégration scanner/POS des partenaires ;</w:t>
      </w:r>
    </w:p>
    <w:p>
      <w:pPr>
        <w:pStyle w:val="ListBullet"/>
      </w:pPr>
      <w:r>
        <w:t>unité Miles, règles de gain, expiration, plafonds, tiers, transférabilité et traitement des reprises ;</w:t>
      </w:r>
    </w:p>
    <w:p>
      <w:pPr>
        <w:pStyle w:val="ListBullet"/>
      </w:pPr>
      <w:r>
        <w:t>valorisation comptable de la dette de fidélité, financement des rewards, TVA, fiscalité et règles de settlement ;</w:t>
      </w:r>
    </w:p>
    <w:p>
      <w:pPr>
        <w:pStyle w:val="ListBullet"/>
      </w:pPr>
      <w:r>
        <w:t>catalogue initial, combinaison Miles + cash, annulation, no-show, stock, vouchers et service client ;</w:t>
      </w:r>
    </w:p>
    <w:p>
      <w:pPr>
        <w:pStyle w:val="ListBullet"/>
      </w:pPr>
      <w:r>
        <w:t>cadre légal et conformité des avantages liés aux contrats d’assurance, assurances offertes et cashback ;</w:t>
      </w:r>
    </w:p>
    <w:p>
      <w:pPr>
        <w:pStyle w:val="ListBullet"/>
      </w:pPr>
      <w:r>
        <w:t>processus d’onboarding, validation, fraude, litiges et niveau d’accès des partenaires d’avantages.</w:t>
      </w:r>
    </w:p>
    <w:p>
      <w:pPr>
        <w:keepNext w:val="0"/>
      </w:pPr>
      <w:r>
        <w:t>Retire : décisions spécifiques consolidées en R16 (profils 10’000 / 100’000, définitions de réussite, modèle de vie, règles Cascade, inflation et bonus, EMS, conditions Plan / Care, conventions des indicateurs, LPP, Lombard, fiscalité et distribution). Le PDF ne fournit pas ces spécifications détaillées ; leur validation est un jalon explicite.</w:t>
      </w:r>
    </w:p>
    <w:p>
      <w:pPr>
        <w:pStyle w:val="Heading1"/>
        <w:keepNext/>
        <w:spacing w:before="200" w:after="100"/>
      </w:pPr>
      <w:r>
        <w:rPr/>
        <w:t>95. Glossaire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08"/>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Terme</w:t>
            </w:r>
          </w:p>
        </w:tc>
        <w:tc>
          <w:tcPr>
            <w:tcW w:type="dxa" w:w="7030"/>
            <w:shd w:fill="25265E" w:val="clear"/>
            <w:tcMar>
              <w:top w:w="95" w:type="dxa"/>
              <w:start w:w="105" w:type="dxa"/>
              <w:bottom w:w="95" w:type="dxa"/>
              <w:end w:w="105" w:type="dxa"/>
            </w:tcMar>
            <w:vAlign w:val="center"/>
            <w:tcBorders>
              <w:top w:sz="3" w:val="single" w:color="C7CBD8"/>
              <w:left w:sz="3" w:val="single" w:color="C7CBD8"/>
              <w:bottom w:sz="3" w:val="single" w:color="C7CBD8"/>
              <w:right w:sz="3" w:val="single" w:color="C7CBD8"/>
            </w:tcBorders>
          </w:tcPr>
          <w:p>
            <w:pPr>
              <w:spacing w:after="0"/>
            </w:pPr>
            <w:r>
              <w:rPr>
                <w:rFonts w:ascii="Inter" w:hAnsi="Inter"/>
                <w:b/>
                <w:color w:val="FFFFFF"/>
                <w:sz w:val="16"/>
              </w:rPr>
              <w:t>Définition</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CoverView Core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Backend, base, services et règles communs à l’écosystème</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Wallet</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Espace client persistant sur wallet.coverview.ch</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Intelligence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Plateforme professionnelle d’analyse et de benchmark</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Admin</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t>Système d’exploitation interne : CRM, suivi client, projets, tâches, communications, pilotage, catalogue et exceptions</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Partners</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Portail pour apporteurs et fournisseurs de leads</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Product</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Définition générique d’une offre du marché</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Instance d’un produit détenue par un client</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Snapshot</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Copie immuable des données et hypothèses utilisées à un instant donné</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Goal Probability</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Probabilité modélisée d’atteindre la cible à un âge donné</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Retirement Target Age</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Premier âge où la probabilité atteint le niveau de confiance choisi</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Investment Age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Époque de référence à laquelle l’allocation ressemble</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Retirement World</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Visualisation émotionnelle de la solidité de la trajectoire</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Strategy Freshness</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Capacité de la stratégie à rester actuelle, flexible et suivie</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LppSearchRequest</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Dossier persistant de recherche d’avoirs LPP</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ContractRetrievalRequest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Dossier de récupération automatisée de contrats auprès de compagnies</w:t>
            </w:r>
          </w:p>
        </w:tc>
      </w:tr>
      <w:tr>
        <w:trPr>
          <w:cantSplit/>
        </w:trPr>
        <w:tc>
          <w:tcPr>
            <w:tcW w:type="dxa" w:w="2608"/>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Human-in-the-loop</w:t>
            </w:r>
          </w:p>
        </w:tc>
        <w:tc>
          <w:tcPr>
            <w:tcW w:type="dxa" w:w="7030"/>
            <w:shd w:fill="F8F9FC" w:val="clear"/>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color w:val="1A1D2B"/>
                <w:sz w:val="15"/>
              </w:rPr>
              <w:t>Validation humaine réservée aux exceptions ou impacts sensibles</w:t>
            </w:r>
          </w:p>
        </w:tc>
      </w:tr>
      <w:tr>
        <w:tc>
          <w:tcPr>
            <w:tcW w:type="dxa" w:w="4989"/>
          </w:tcPr>
          <w:p>
            <w:r>
              <w:t>Lead</w:t>
            </w:r>
          </w:p>
        </w:tc>
        <w:tc>
          <w:tcPr>
            <w:tcW w:type="dxa" w:w="4989"/>
          </w:tcPr>
          <w:p>
            <w:r>
              <w:t>Personne ou organisation entrante dont le besoin et la qualification restent à établir</w:t>
            </w:r>
          </w:p>
        </w:tc>
      </w:tr>
      <w:tr>
        <w:tc>
          <w:tcPr>
            <w:tcW w:type="dxa" w:w="4989"/>
          </w:tcPr>
          <w:p>
            <w:r>
              <w:t>Opportunity</w:t>
            </w:r>
          </w:p>
        </w:tc>
        <w:tc>
          <w:tcPr>
            <w:tcW w:type="dxa" w:w="4989"/>
          </w:tcPr>
          <w:p>
            <w:r>
              <w:t>Besoin commercial distinct rattaché à une personne ou organisation, avec étape, probabilité, revenu estimé et date de décision</w:t>
            </w:r>
          </w:p>
        </w:tc>
      </w:tr>
      <w:tr>
        <w:tc>
          <w:tcPr>
            <w:tcW w:type="dxa" w:w="4989"/>
          </w:tcPr>
          <w:p>
            <w:r>
              <w:t>Case / Project</w:t>
            </w:r>
          </w:p>
        </w:tc>
        <w:tc>
          <w:tcPr>
            <w:tcW w:type="dxa" w:w="4989"/>
          </w:tcPr>
          <w:p>
            <w:r>
              <w:t>Dossier borné regroupant étapes, tâches, documents, dépendances et résultat attendu</w:t>
            </w:r>
          </w:p>
        </w:tc>
      </w:tr>
      <w:tr>
        <w:tc>
          <w:tcPr>
            <w:tcW w:type="dxa" w:w="4989"/>
          </w:tcPr>
          <w:p>
            <w:r>
              <w:t>Task</w:t>
            </w:r>
          </w:p>
        </w:tc>
        <w:tc>
          <w:tcPr>
            <w:tcW w:type="dxa" w:w="4989"/>
          </w:tcPr>
          <w:p>
            <w:r>
              <w:t>Action atomique attribuée, priorisée, datée et reliée à un objet métier</w:t>
            </w:r>
          </w:p>
        </w:tc>
      </w:tr>
      <w:tr>
        <w:tc>
          <w:tcPr>
            <w:tcW w:type="dxa" w:w="4989"/>
          </w:tcPr>
          <w:p>
            <w:r>
              <w:t>Next Action</w:t>
            </w:r>
          </w:p>
        </w:tc>
        <w:tc>
          <w:tcPr>
            <w:tcW w:type="dxa" w:w="4989"/>
          </w:tcPr>
          <w:p>
            <w:r>
              <w:t>Prochaine action explicite nécessaire pour faire progresser un lead, une opportunité ou un dossier actif</w:t>
            </w:r>
          </w:p>
        </w:tc>
      </w:tr>
      <w:tr>
        <w:tc>
          <w:tcPr>
            <w:tcW w:type="dxa" w:w="4989"/>
          </w:tcPr>
          <w:p>
            <w:r>
              <w:t>Activity Timeline</w:t>
            </w:r>
          </w:p>
        </w:tc>
        <w:tc>
          <w:tcPr>
            <w:tcW w:type="dxa" w:w="4989"/>
          </w:tcPr>
          <w:p>
            <w:r>
              <w:t>Historique unifié des emails, appels, rendez-vous, notes, documents, tâches et événements système</w:t>
            </w:r>
          </w:p>
        </w:tc>
      </w:tr>
      <w:tr>
        <w:tc>
          <w:tcPr>
            <w:tcW w:type="dxa" w:w="4989"/>
          </w:tcPr>
          <w:p>
            <w:r>
              <w:t>Pipeline pondéré</w:t>
            </w:r>
          </w:p>
        </w:tc>
        <w:tc>
          <w:tcPr>
            <w:tcW w:type="dxa" w:w="4989"/>
          </w:tcPr>
          <w:p>
            <w:r>
              <w:t>Somme des revenus estimés multipliés par la probabilité associée à chaque opportunité</w:t>
            </w:r>
          </w:p>
        </w:tc>
      </w:tr>
      <w:tr>
        <w:tc>
          <w:tcPr>
            <w:tcW w:type="dxa" w:w="4989"/>
          </w:tcPr>
          <w:p>
            <w:r>
              <w:t>Forecast</w:t>
            </w:r>
          </w:p>
        </w:tc>
        <w:tc>
          <w:tcPr>
            <w:tcW w:type="dxa" w:w="4989"/>
          </w:tcPr>
          <w:p>
            <w:r>
              <w:t>Prévision datée des revenus futurs, distincte du revenu réellement acquis ou encaissé</w:t>
            </w:r>
          </w:p>
        </w:tc>
      </w:tr>
      <w:tr>
        <w:tc>
          <w:tcPr>
            <w:tcW w:type="dxa" w:w="4989"/>
          </w:tcPr>
          <w:p>
            <w:pPr/>
            <w:r>
              <w:t>Copilote IA</w:t>
            </w:r>
          </w:p>
        </w:tc>
        <w:tc>
          <w:tcPr>
            <w:tcW w:type="dxa" w:w="4989"/>
          </w:tcPr>
          <w:p>
            <w:pPr/>
            <w:r>
              <w:t>Interface conversationnelle et vocale d’Admin qui interroge CoverView Core et déclenche des actions métier autorisées</w:t>
            </w:r>
          </w:p>
        </w:tc>
      </w:tr>
      <w:tr>
        <w:tc>
          <w:tcPr>
            <w:tcW w:type="dxa" w:w="4989"/>
          </w:tcPr>
          <w:p>
            <w:pPr/>
            <w:r>
              <w:t>Context Binding</w:t>
            </w:r>
          </w:p>
        </w:tc>
        <w:tc>
          <w:tcPr>
            <w:tcW w:type="dxa" w:w="4989"/>
          </w:tcPr>
          <w:p>
            <w:pPr/>
            <w:r>
              <w:t>Lien explicite entre une conversation et la page, le client, le lead, le dossier, la tâche ou tout autre objet courant</w:t>
            </w:r>
          </w:p>
        </w:tc>
      </w:tr>
      <w:tr>
        <w:tc>
          <w:tcPr>
            <w:tcW w:type="dxa" w:w="4989"/>
          </w:tcPr>
          <w:p>
            <w:pPr/>
            <w:r>
              <w:t>Action Registry</w:t>
            </w:r>
          </w:p>
        </w:tc>
        <w:tc>
          <w:tcPr>
            <w:tcW w:type="dxa" w:w="4989"/>
          </w:tcPr>
          <w:p>
            <w:pPr/>
            <w:r>
              <w:t>Catalogue versionné des actions que le copilote peut proposer ou exécuter, avec schémas, permissions et niveau de confirmation</w:t>
            </w:r>
          </w:p>
        </w:tc>
      </w:tr>
      <w:tr>
        <w:tc>
          <w:tcPr>
            <w:tcW w:type="dxa" w:w="4989"/>
          </w:tcPr>
          <w:p>
            <w:pPr/>
            <w:r>
              <w:t>Tool Gateway</w:t>
            </w:r>
          </w:p>
        </w:tc>
        <w:tc>
          <w:tcPr>
            <w:tcW w:type="dxa" w:w="4989"/>
          </w:tcPr>
          <w:p>
            <w:pPr/>
            <w:r>
              <w:t>Couche backend qui valide et exécute les actions du copilote sans donner au LLM un accès direct aux données ou services sensibles</w:t>
            </w:r>
          </w:p>
        </w:tc>
      </w:tr>
      <w:tr>
        <w:tc>
          <w:tcPr>
            <w:tcW w:type="dxa" w:w="4989"/>
          </w:tcPr>
          <w:p>
            <w:pPr/>
            <w:r>
              <w:t>Approval Request</w:t>
            </w:r>
          </w:p>
        </w:tc>
        <w:tc>
          <w:tcPr>
            <w:tcW w:type="dxa" w:w="4989"/>
          </w:tcPr>
          <w:p>
            <w:pPr/>
            <w:r>
              <w:t>Aperçu immuable d’une action sensible soumis à confirmation avant exécution</w:t>
            </w:r>
          </w:p>
        </w:tc>
      </w:tr>
      <w:tr>
        <w:tc>
          <w:tcPr>
            <w:tcW w:type="dxa" w:w="4989"/>
          </w:tcPr>
          <w:p>
            <w:pPr/>
            <w:r>
              <w:t>AI Conversation</w:t>
            </w:r>
          </w:p>
        </w:tc>
        <w:tc>
          <w:tcPr>
            <w:tcW w:type="dxa" w:w="4989"/>
          </w:tcPr>
          <w:p>
            <w:pPr/>
            <w:r>
              <w:t>Suite de messages globale ou liée à un objet, accompagnée de son contexte, de ses pièces jointes et des actions associées</w:t>
            </w:r>
          </w:p>
        </w:tc>
      </w:tr>
      <w:tr>
        <w:tc>
          <w:tcPr>
            <w:tcW w:type="dxa" w:w="4989"/>
          </w:tcPr>
          <w:p>
            <w:pPr/>
            <w:r>
              <w:t>Voice Transcript</w:t>
            </w:r>
          </w:p>
        </w:tc>
        <w:tc>
          <w:tcPr>
            <w:tcW w:type="dxa" w:w="4989"/>
          </w:tcPr>
          <w:p>
            <w:pPr/>
            <w:r>
              <w:t>Transcription éditable d’une dictée ou commande vocale, conservée selon la politique de rétention définie</w:t>
            </w:r>
          </w:p>
        </w:tc>
      </w:tr>
      <w:tr>
        <w:tc>
          <w:tcPr>
            <w:tcW w:type="dxa" w:w="4989"/>
          </w:tcPr>
          <w:p>
            <w:pPr/>
            <w:r>
              <w:t>Matérialisation documentaire</w:t>
            </w:r>
          </w:p>
        </w:tc>
        <w:tc>
          <w:tcPr>
            <w:tcW w:type="dxa" w:w="4989"/>
          </w:tcPr>
          <w:p>
            <w:pPr/>
            <w:r>
              <w:t>Transformation contrôlée d’un fichier en métadonnées, relations, tâches et objets exploitables, sans perdre l’original ni les incertitudes</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 Assistant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Assistant conversationnel de Wallet qui répond à un scénario à partir des contrats, documents et droits du client</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 Evidence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Passage, clause, document, version et métadonnée réellement utilisés pour soutenir une réponse</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Coverage Answer</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Réponse structurée indiquant conclusion prudente, contrat, raisonnement, limites, sources, manque d’information et prochaine action</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ClaimAssistanceRequest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Dossier d’aide ou de sinistre créé depuis Wallet et suivi conjointement dans Admin</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Digital Pass / Carte CoverView</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Pass de membre et de fidélité ajouté à un wallet numérique, contenant un jeton opaque et des liens vers CoverView</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Miles Account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Compte logique regroupant le ledger et le solde calculé des Miles d’un membre</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Miles Transaction</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Écriture immuable de gain, réservation, redemption, expiration, reversal ou ajustement</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Earning Rule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Règle versionnée déterminant quand, combien et sous quelles conditions des Miles sont attribués</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Reward</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Bien, service, rabais ou droit structuré pouvant être obtenu selon un prix et une éligibilité</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Entitlement</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Droit numérique accordé après une redemption, utilisable une ou plusieurs fois selon ses conditions</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Voucher</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Code ou preuve d’usage limitée, expirante et traçable, émise pour une récompense</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Redemption</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Transaction atomique transformant des Miles réservés ou débités en reward, entitlement ou voucher</w:t>
            </w:r>
          </w:p>
        </w:tc>
      </w:tr>
      <w:t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Partner Offer</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4"/>
              </w:rPr>
              <w:t>Avantage financé ou exécuté par un partenaire, soumis à approbation, stock, validation et règlement</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CoverView Retire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Moteur de décision et de pilotage de la retraite du foyer, intégré à Wallet.</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 Range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Plancher sécurisé, niveau recommandé et niveau de prospérité, exprimés en budgets réels modélisés.</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Real Income Success Rate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Probabilité modélisée de maintenir le revenu réel cible, distincte de l’atteinte d’un capital à un âge donné.</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Net Lifetime Economic Value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Revenus consommés + patrimoine transmis ; conventions détaillées à définir.</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Break-even conversion rate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Taux de conversion rendant rente et capital équivalents selon le modèle et ses hypothèses.</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Growth Cascade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Politique de croissance et de flux reliant Strategic Growth, Quality Income, Safety et Lombard.</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Safety Buffer</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Réserve dynamique décrite en années de besoin résiduel : plancher ~0,5, cible ~1,5, plafond ~2,5.</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Lombard Bridge</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Ligne de secours envisagée hors allocation, soumise à validation ; pas de levier de performance.</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 Check / Plan / Strategy</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Première valeur gratuite / analyse numérique CHF 390 / Plan + expert CHF 1’290 avec déduction du Plan déjà payé.</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Retirement Care / Event Review</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Monitoring CHF 290/an/foyer / revue humaine ponctuelle CHF 290, selon le modèle stratégique.</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EMS</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Établissement médico-social, intégré aux scénarios de dépendance avec coût net des dépenses remplacées.</w:t>
            </w:r>
          </w:p>
        </w:tc>
      </w:tr>
      <w:tr>
        <w:trPr>
          <w:cantSplit/>
        </w:trPr>
        <w:tc>
          <w:tcPr>
            <w:tcW w:type="dxa" w:w="2608"/>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[RET-1]</w:t>
            </w:r>
          </w:p>
        </w:tc>
        <w:tc>
          <w:tcPr>
            <w:tcW w:type="dxa" w:w="7030"/>
            <w:tcMar>
              <w:top w:w="85" w:type="dxa"/>
              <w:start w:w="105" w:type="dxa"/>
              <w:bottom w:w="85" w:type="dxa"/>
              <w:end w:w="105" w:type="dxa"/>
            </w:tcMar>
            <w:vAlign w:val="top"/>
            <w:tcBorders>
              <w:top w:sz="3" w:val="single" w:color="C7CBD8"/>
              <w:left w:sz="3" w:val="single" w:color="C7CBD8"/>
              <w:bottom w:sz="3" w:val="single" w:color="C7CBD8"/>
              <w:right w:sz="3" w:val="single" w:color="C7CBD8"/>
            </w:tcBorders>
          </w:tcPr>
          <w:p>
            <w:pPr>
              <w:spacing w:after="0"/>
            </w:pPr>
            <w:r>
              <w:rPr>
                <w:rFonts w:ascii="Inter" w:hAnsi="Inter"/>
                <w:sz w:val="16"/>
              </w:rPr>
              <w:t>PDF fourni : CoverView Retire — Retirement Decision Engine, Growth Cascade &amp; Business Model, v1.0, 5 septembre 2026, 7 pages.</w:t>
            </w:r>
          </w:p>
        </w:tc>
      </w:tr>
    </w:tbl>
    <w:p>
      <w:pPr>
        <w:spacing w:after="0"/>
      </w:pPr>
    </w:p>
    <w:p>
      <w:pPr>
        <w:pStyle w:val="Heading1"/>
        <w:keepNext/>
        <w:pageBreakBefore/>
        <w:spacing w:before="200" w:after="100"/>
      </w:pPr>
      <w:r>
        <w:rPr/>
        <w:t>96. Conclusion</w:t>
      </w:r>
    </w:p>
    <w:tbl>
      <w:tblPr>
        <w:tblW w:type="auto" w:w="0"/>
        <w:jc w:val="center"/>
        <w:tblLook w:firstColumn="1" w:firstRow="1" w:lastColumn="0" w:lastRow="0" w:noHBand="0" w:noVBand="1" w:val="04A0"/>
      </w:tblPr>
      <w:tblGrid>
        <w:gridCol w:w="9978"/>
      </w:tblGrid>
      <w:tr>
        <w:tc>
          <w:tcPr>
            <w:tcW w:type="dxa" w:w="9978"/>
            <w:shd w:fill="F1F3F7" w:val="clear"/>
            <w:tcBorders>
              <w:top w:val="nil"/>
              <w:left w:sz="20" w:val="single" w:color="6D4AFF"/>
              <w:bottom w:val="nil"/>
              <w:right w:val="nil"/>
            </w:tcBorders>
            <w:tcMar>
              <w:top w:w="130" w:type="dxa"/>
              <w:start w:w="200" w:type="dxa"/>
              <w:bottom w:w="130" w:type="dxa"/>
              <w:end w:w="130" w:type="dxa"/>
            </w:tcMar>
          </w:tcPr>
          <w:p>
            <w:pPr>
              <w:jc w:val="left"/>
            </w:pPr>
            <w:r>
              <w:rPr>
                <w:rFonts w:ascii="Inter" w:hAnsi="Inter"/>
                <w:i/>
                <w:color w:val="25265E"/>
                <w:sz w:val="22"/>
              </w:rPr>
              <w:t>Le site attire et déclenche. Wallet centralise, explique, assiste et fidélise. Intelligence analyse. Admin crée, gouverne et orchestre. Partners connecte l’écosystème commercial et les avantages. Exchange pourra, plus tard, étendre le modèle vers le transfert direct de risques mesurables.</w:t>
            </w:r>
          </w:p>
        </w:tc>
      </w:tr>
    </w:tbl>
    <w:p>
      <w:pPr>
        <w:spacing w:after="0"/>
      </w:pPr>
    </w:p>
    <w:p>
      <w:pPr/>
      <w:r>
        <w:rPr/>
        <w:t>Le cœur de CoverView n’est pas une application particulière. Il réside dans la base de données commune, les identifiants canoniques, les workflows, les moteurs, les documents, les preuves et la capacité à transformer des informations fragmentées en une vision fiable et actionnable. Wallet devient à la fois le coffre-fort, le tableau de bord et le point d’assistance du client : il peut expliquer une couverture à partir des contrats réels, transformer une question en dossier suivi, puis prolonger la relation par une carte digitale, des Miles et des avantages. Admin en demeure la mémoire opérationnelle : il permet de savoir à tout instant qui doit agir, sur quel client ou dossier, pour quelle échéance, avec quel impact commercial, financier ou de fidélité. Les copilotes IA ajoutent une couche de pilotage naturel par texte, voix et pièces jointes, sans créer un second système ni contourner les permissions, les validations ou la traçabilité.</w:t>
      </w:r>
    </w:p>
    <w:p>
      <w:pPr/>
      <w:r>
        <w:rPr>
          <w:rFonts w:ascii="Inter" w:hAnsi="Inter"/>
          <w:i w:val="0"/>
        </w:rPr>
        <w:t>La phrase que l’utilisateur doit pouvoir retenir est : « Je veux partir à 65 ans. En tenant compte de l’inflation et de différents scénarios de marché, ma stratégie actuelle me donne plutôt 71 ans. CoverView m’a montré pourquoi, mes chances d’y arriver, ce que je peux changer et peut ensuite suivre la stratégie dans le temps. »</w:t>
      </w:r>
    </w:p>
    <w:p>
      <w:pPr>
        <w:keepNext w:val="0"/>
      </w:pPr>
      <w:r>
        <w:t>Avec CoverView Retire, cette vision se prolonge au-delà de l’accumulation : le foyer peut relier son niveau de vie, ses revenus, son patrimoine et ses décisions aux scénarios de longévité et de dépendance. La question de suivi devient aussi : « Puis-je continuer à vivre comme prévu, et est-ce que je peux maintenant me permettre davantage ? » [RET-1, p. 7].</w:t>
      </w:r>
    </w:p>
    <w:p>
      <w:pPr>
        <w:pStyle w:val="Heading2"/>
        <w:keepNext/>
        <w:spacing w:before="160" w:after="80"/>
      </w:pPr>
      <w:r>
        <w:t>Historique de cette mise à jour</w:t>
      </w:r>
    </w:p>
    <w:p>
      <w:pPr>
        <w:keepNext w:val="0"/>
      </w:pPr>
      <w:r>
        <w:t>v1.5 — 5 septembre 2026. Base : Bible CoverView v1.4. Ajout : document [RET-1]. Intégration : Partie VI bis, résumé, paramètres Admin, pages publiques, parcours retraite, spécifications Site / Wallet / Admin / Partners / Intelligence, données communes, moteurs, API, événements, cache, sécurité, workflows L et M, roadmap, indicateurs, critères de livraison et glossaire. Les points non définis par les sources restent signalés en R16.</w:t>
      </w:r>
    </w:p>
    <w:sectPr w:rsidR="00FC693F" w:rsidRPr="0006063C" w:rsidSect="00034616">
      <w:headerReference w:type="default" r:id="rId9"/>
      <w:footerReference w:type="default" r:id="rId10"/>
      <w:pgSz w:w="11906" w:h="16838"/>
      <w:pgMar w:top="935" w:right="964" w:bottom="879"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Inter" w:hAnsi="Inter"/>
        <w:color w:val="5F66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Inter Display" w:hAnsi="Inter Display"/>
        <w:b/>
        <w:color w:val="5F667A"/>
        <w:sz w:val="16"/>
      </w:rPr>
      <w:t>COVERVIEW  /  BIBLE PRODUIT &amp; PLATEFORME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Inter" w:hAnsi="Inter"/>
      <w:color w:val="1A1D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Display" w:hAnsi="Inter Display"/>
      <w:b/>
      <w:bCs/>
      <w:color w:val="25265E"/>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Inter Display" w:hAnsi="Inter Display"/>
      <w:b/>
      <w:bCs/>
      <w:color w:val="6D4AFF"/>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Display" w:hAnsi="Inter Display"/>
      <w:b/>
      <w:bCs/>
      <w:color w:val="2526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Display" w:hAnsi="Inter Display"/>
      <w:b/>
      <w:color w:val="2526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Display" w:hAnsi="Inter Display"/>
      <w:b w:val="0"/>
      <w:i/>
      <w:iCs/>
      <w:color w:val="5F66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ViewLead">
    <w:name w:val="CoverView Lead"/>
    <w:pPr>
      <w:spacing w:after="160" w:line="283" w:lineRule="auto"/>
    </w:pPr>
    <w:rPr>
      <w:rFonts w:ascii="Inter" w:hAnsi="Inter"/>
      <w:color w:val="5F667A"/>
      <w:sz w:val="22"/>
    </w:rPr>
  </w:style>
  <w:style w:type="paragraph" w:customStyle="1" w:styleId="CoverViewSmall">
    <w:name w:val="CoverView Small"/>
    <w:pPr>
      <w:spacing w:after="60"/>
    </w:pPr>
    <w:rPr>
      <w:rFonts w:ascii="Inter" w:hAnsi="Inter"/>
      <w:color w:val="5F667A"/>
      <w:sz w:val="16"/>
    </w:rPr>
  </w:style>
  <w:style w:type="paragraph" w:customStyle="1" w:styleId="CoverViewCode">
    <w:name w:val="CoverView Code"/>
    <w:pPr>
      <w:spacing w:after="120" w:line="252" w:lineRule="auto"/>
      <w:ind w:left="255" w:right="142"/>
    </w:pPr>
    <w:rPr>
      <w:rFonts w:ascii="DejaVu Sans Mono" w:hAnsi="DejaVu Sans Mono"/>
      <w:color w:val="1A1D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CoverView — Bible produit et plateforme — v1.5</dc:title>
  <dc:subject>Intégration de CoverView Retire : décision retraite, Growth Cascade, offres et suivi</dc:subject>
  <dc:creator>CoverView</dc:creator>
  <cp:keywords>CoverView, Wallet, Intelligence, Admin, Partners, 3P, retraite, LPP, architecture, produit</cp:keywords>
  <dc:description>Version 1.2 - ajout du CRM, suivi client, gestion de projet, Kanban, Gmail, Google Calendar, dashboards et forecasts dans Admin.</dc:description>
  <cp:lastModifiedBy/>
  <cp:revision>1</cp:revision>
  <dcterms:created xsi:type="dcterms:W3CDTF">2013-12-23T23:15:00Z</dcterms:created>
  <dcterms:modified xsi:type="dcterms:W3CDTF">2026-09-05T12:00:00Z</dcterms:modified>
  <cp:category/>
  <cp:version>1.5</cp:version>
</cp:coreProperties>
</file>