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Explicación del Archivo Excel — Direccionamiento</w:t>
      </w:r>
    </w:p>
    <w:p>
      <w:pPr>
        <w:spacing w:after="120"/>
      </w:pPr>
      <w:r>
        <w:rPr>
          <w:i/>
          <w:iCs/>
        </w:rPr>
        <w:t xml:space="preserve">Estudiante: Alfonso  |  Materia: Internet: Arquitectura y Protocolos  |  EAFIT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¿Qué contiene el Excel?</w:t>
      </w:r>
    </w:p>
    <w:p>
      <w:pPr>
        <w:spacing w:after="120"/>
      </w:pPr>
      <w:r>
        <w:t xml:space="preserve">El archivo Excel tiene dos hojas con el direccionamiento completo del proyecto.</w:t>
      </w:r>
    </w:p>
    <w:p>
      <w:pPr>
        <w:spacing w:after="80" w:before="200"/>
      </w:pPr>
      <w:r>
        <w:rPr>
          <w:b/>
          <w:bCs/>
        </w:rPr>
        <w:t xml:space="preserve">Hoja 1 — Direccionamiento (IPv4)</w:t>
      </w:r>
    </w:p>
    <w:p>
      <w:pPr>
        <w:spacing w:after="80"/>
      </w:pPr>
      <w:r>
        <w:t xml:space="preserve">Contiene la tabla con las 11 subredes del proyecto. Para cada subred se muestra: el nombre, la cantidad de hosts requeridos, la dirección de red asignada, el prefijo y máscara, el gateway (con la interfaz del router donde está configurado) y el rango de IPs usables.</w:t>
      </w:r>
    </w:p>
    <w:p>
      <w:pPr>
        <w:spacing w:after="80"/>
      </w:pPr>
      <w:r>
        <w:t xml:space="preserve">El direccionamiento se hizo con VLSM ordenando de mayor a menor cantidad de hosts dentro de cada red base:</w:t>
      </w:r>
    </w:p>
    <w:p>
      <w:pPr>
        <w:spacing w:after="60"/>
        <w:ind w:left="360"/>
      </w:pPr>
      <w:r>
        <w:t xml:space="preserve">- Red base 10.10.0.0/12: primero VLAN60 (730 hosts, /22) y luego VLAN50 (350 hosts, /23).</w:t>
      </w:r>
    </w:p>
    <w:p>
      <w:pPr>
        <w:spacing w:after="60"/>
        <w:ind w:left="360"/>
      </w:pPr>
      <w:r>
        <w:t xml:space="preserve">- Red base 172.20.0.0/22: LAN3 (80 hosts, /25), luego LAN4 (38 hosts, /26), luego RED SERVER1 (25 hosts, /27).</w:t>
      </w:r>
    </w:p>
    <w:p>
      <w:pPr>
        <w:spacing w:after="60"/>
        <w:ind w:left="360"/>
      </w:pPr>
      <w:r>
        <w:t xml:space="preserve">- Red base 199.0.0.0/24: WAN CENTRAL-LONDON (4 hosts, /29), luego los dos enlaces punto a punto (/30). Los enlaces WAN LONDON-NY y NY-TOKYO usan fibra óptica (interfaces Gi0/3/0 y Gi0/2/0).</w:t>
      </w:r>
    </w:p>
    <w:p>
      <w:pPr>
        <w:spacing w:after="80"/>
        <w:ind w:left="360"/>
      </w:pPr>
      <w:r>
        <w:t xml:space="preserve">- Red inalámbrica 10.1.1.0/25 y CLOUD 200.200.200.0/29 como redes independientes.</w:t>
      </w:r>
    </w:p>
    <w:p>
      <w:pPr>
        <w:spacing w:after="120"/>
      </w:pPr>
      <w:r>
        <w:t xml:space="preserve">También se incluye la VLAN100 (MANAGEMENT) con la red 192.168.100.0/24 que se usa como VLAN nativa y administrativa. El WirelessRouter0 está conectado al switch LAN4 con IP WAN 172.20.0.131 en la subred de LAN4.</w:t>
      </w:r>
    </w:p>
    <w:p>
      <w:pPr>
        <w:spacing w:after="80" w:before="200"/>
      </w:pPr>
      <w:r>
        <w:rPr>
          <w:b/>
          <w:bCs/>
        </w:rPr>
        <w:t xml:space="preserve">Hoja 2 — Direccionamiento IPv6 (Parte 2)</w:t>
      </w:r>
    </w:p>
    <w:p>
      <w:pPr>
        <w:spacing w:after="80"/>
      </w:pPr>
      <w:r>
        <w:t xml:space="preserve">Contiene las direcciones IPv6 unicast-global con prefijo /64 asignadas en la Parte 2 del proyecto. Se muestran las 13 interfaces de los 4 routers (CENTRAL, LONDON, NEW_YORK, TOKYO) y las 5 direcciones de los dispositivos finales (PC0, PC1, PC2, Server1, Server2).</w:t>
      </w:r>
    </w:p>
    <w:p>
      <w:pPr>
        <w:spacing w:after="120"/>
      </w:pPr>
      <w:r>
        <w:t xml:space="preserve">Los enlaces WAN usan el prefijo 2001:DB8:AA:X en vez de 2001:DB8:WAN:X porque "WAN" no es un valor hexadecimal válido en IPv6. Esto se documenta en la sección 6.4 del informe del proyecto.</w:t>
      </w:r>
    </w:p>
    <w:p>
      <w:pPr>
        <w:spacing w:after="120"/>
      </w:pPr>
      <w:r>
        <w:t xml:space="preserve">No se configuró IPv6 en los switches capa 2 (SW_vlan, LAN3, LAN4) ni en el router inalámbrico (WirelessRouter0), tal como indica el enunciado del proyecto.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2026-05-07T05:03:13.136Z</dcterms:created>
  <dcterms:modified xsi:type="dcterms:W3CDTF">2026-05-07T05:03:13.137Z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