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Fig 1: Positive image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373062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730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Fig 2: Negative image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348163" cy="348189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481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>
        <w:b w:val="1"/>
        <w:sz w:val="40"/>
        <w:szCs w:val="40"/>
      </w:rPr>
    </w:pPr>
    <w:r w:rsidDel="00000000" w:rsidR="00000000" w:rsidRPr="00000000">
      <w:rPr>
        <w:b w:val="1"/>
        <w:sz w:val="40"/>
        <w:szCs w:val="40"/>
        <w:rtl w:val="0"/>
      </w:rPr>
      <w:t xml:space="preserve">Object detection using Haar cascade classifier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