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B8664" w14:textId="77777777" w:rsidR="00FB19C3" w:rsidRDefault="00000000">
      <w:pPr>
        <w:spacing w:after="111" w:line="259" w:lineRule="auto"/>
        <w:ind w:left="-5" w:hanging="10"/>
        <w:jc w:val="left"/>
      </w:pPr>
      <w:r>
        <w:rPr>
          <w:b/>
        </w:rPr>
        <w:t xml:space="preserve">Project Title: Unveiling the Virtual Classroom: An In-depth Analysis of the Online </w:t>
      </w:r>
    </w:p>
    <w:p w14:paraId="75AF7CD2" w14:textId="77777777" w:rsidR="00FB19C3" w:rsidRDefault="00000000">
      <w:pPr>
        <w:spacing w:after="111" w:line="259" w:lineRule="auto"/>
        <w:ind w:left="-5" w:hanging="10"/>
        <w:jc w:val="left"/>
      </w:pPr>
      <w:r>
        <w:rPr>
          <w:b/>
        </w:rPr>
        <w:t xml:space="preserve">Education System </w:t>
      </w:r>
    </w:p>
    <w:p w14:paraId="685483F7" w14:textId="493E9CB0" w:rsidR="00FB19C3" w:rsidRDefault="00000000">
      <w:pPr>
        <w:spacing w:after="111" w:line="259" w:lineRule="auto"/>
        <w:ind w:left="-5" w:hanging="10"/>
        <w:jc w:val="left"/>
      </w:pPr>
      <w:r>
        <w:rPr>
          <w:b/>
        </w:rPr>
        <w:t xml:space="preserve">Name: </w:t>
      </w:r>
      <w:r w:rsidR="00F60A16">
        <w:rPr>
          <w:b/>
        </w:rPr>
        <w:t xml:space="preserve"> Bharti Khemani</w:t>
      </w:r>
    </w:p>
    <w:p w14:paraId="7216B491" w14:textId="77777777" w:rsidR="00FB19C3" w:rsidRDefault="00000000">
      <w:pPr>
        <w:numPr>
          <w:ilvl w:val="0"/>
          <w:numId w:val="1"/>
        </w:numPr>
        <w:spacing w:after="111" w:line="259" w:lineRule="auto"/>
        <w:ind w:hanging="240"/>
        <w:jc w:val="left"/>
      </w:pPr>
      <w:r>
        <w:rPr>
          <w:b/>
        </w:rPr>
        <w:t xml:space="preserve">Defining Problem / Problem Understanding </w:t>
      </w:r>
    </w:p>
    <w:p w14:paraId="6C1A10A4" w14:textId="77777777" w:rsidR="00FB19C3" w:rsidRDefault="00000000">
      <w:pPr>
        <w:spacing w:after="111" w:line="259" w:lineRule="auto"/>
        <w:ind w:left="-5" w:hanging="10"/>
        <w:jc w:val="left"/>
      </w:pPr>
      <w:r>
        <w:rPr>
          <w:b/>
        </w:rPr>
        <w:t xml:space="preserve">1.4. Social or Business Impact </w:t>
      </w:r>
    </w:p>
    <w:p w14:paraId="3EFD480F" w14:textId="77777777" w:rsidR="00FB19C3" w:rsidRDefault="00000000">
      <w:pPr>
        <w:spacing w:after="111" w:line="259" w:lineRule="auto"/>
        <w:ind w:left="-5" w:hanging="10"/>
        <w:jc w:val="left"/>
      </w:pPr>
      <w:r>
        <w:rPr>
          <w:b/>
        </w:rPr>
        <w:t xml:space="preserve">Social Impact </w:t>
      </w:r>
    </w:p>
    <w:p w14:paraId="15C23142" w14:textId="77777777" w:rsidR="00FB19C3" w:rsidRDefault="00000000">
      <w:pPr>
        <w:ind w:left="-15" w:right="-10"/>
      </w:pPr>
      <w:r>
        <w:rPr>
          <w:b/>
        </w:rPr>
        <w:t>Accessibility and Inclusivity:</w:t>
      </w:r>
      <w:r>
        <w:t xml:space="preserve"> If the examination reveals methods to enhance the accessibility of online education, it could yield a substantial affirmative effect on individuals with disabilities, those residing in remote areas, or those who face other hindrances to conventional education. </w:t>
      </w:r>
    </w:p>
    <w:p w14:paraId="55E8613B" w14:textId="77777777" w:rsidR="00FB19C3" w:rsidRDefault="00000000">
      <w:pPr>
        <w:spacing w:after="115" w:line="259" w:lineRule="auto"/>
        <w:ind w:left="720" w:firstLine="0"/>
        <w:jc w:val="left"/>
      </w:pPr>
      <w:r>
        <w:t xml:space="preserve"> </w:t>
      </w:r>
    </w:p>
    <w:p w14:paraId="4EE6ED5F" w14:textId="77777777" w:rsidR="00FB19C3" w:rsidRDefault="00000000">
      <w:pPr>
        <w:ind w:left="-15" w:right="-10"/>
      </w:pPr>
      <w:r>
        <w:rPr>
          <w:b/>
        </w:rPr>
        <w:t>Global Reach:</w:t>
      </w:r>
      <w:r>
        <w:t xml:space="preserve"> Online education platforms possess the capability to attain a worldwide audience, surpassing geographical boundaries. This could result in the diffusion of knowledge and intercultural comprehension on a wider scale. </w:t>
      </w:r>
    </w:p>
    <w:p w14:paraId="0C2D46A8" w14:textId="77777777" w:rsidR="00FB19C3" w:rsidRDefault="00000000">
      <w:pPr>
        <w:spacing w:after="115" w:line="259" w:lineRule="auto"/>
        <w:ind w:left="720" w:firstLine="0"/>
        <w:jc w:val="left"/>
      </w:pPr>
      <w:r>
        <w:t xml:space="preserve"> </w:t>
      </w:r>
    </w:p>
    <w:p w14:paraId="3FFC5926" w14:textId="77777777" w:rsidR="00FB19C3" w:rsidRDefault="00000000">
      <w:pPr>
        <w:ind w:left="-15" w:right="-10"/>
      </w:pPr>
      <w:r>
        <w:rPr>
          <w:b/>
        </w:rPr>
        <w:t>Flexibility:</w:t>
      </w:r>
      <w:r>
        <w:t xml:space="preserve"> Online education can accommodate learners who require adaptable schedules owing to occupational, familial responsibilities, or other variables. This could authorize more individuals to pursue education while managing their other commitments. </w:t>
      </w:r>
    </w:p>
    <w:p w14:paraId="4EF4D089" w14:textId="77777777" w:rsidR="00FB19C3" w:rsidRDefault="00000000">
      <w:pPr>
        <w:spacing w:after="115" w:line="259" w:lineRule="auto"/>
        <w:ind w:left="720" w:firstLine="0"/>
        <w:jc w:val="left"/>
      </w:pPr>
      <w:r>
        <w:t xml:space="preserve"> </w:t>
      </w:r>
    </w:p>
    <w:p w14:paraId="20F0E76C" w14:textId="77777777" w:rsidR="00FB19C3" w:rsidRDefault="00000000">
      <w:pPr>
        <w:ind w:left="-15" w:right="-10"/>
      </w:pPr>
      <w:r>
        <w:rPr>
          <w:b/>
        </w:rPr>
        <w:t>Personalized Learning:</w:t>
      </w:r>
      <w:r>
        <w:t xml:space="preserve"> Should the analysis reveal methods to augment personalized learning experiences in virtual classrooms, it may ultimately result in heightened engagement and superior learning achievements for students possessing diverse learning styles. </w:t>
      </w:r>
    </w:p>
    <w:p w14:paraId="54EAD0EE" w14:textId="77777777" w:rsidR="00FB19C3" w:rsidRDefault="00000000">
      <w:pPr>
        <w:spacing w:after="115" w:line="259" w:lineRule="auto"/>
        <w:ind w:firstLine="0"/>
        <w:jc w:val="left"/>
      </w:pPr>
      <w:r>
        <w:t xml:space="preserve"> </w:t>
      </w:r>
    </w:p>
    <w:p w14:paraId="4F5E2B3A" w14:textId="77777777" w:rsidR="00FB19C3" w:rsidRDefault="00000000">
      <w:pPr>
        <w:ind w:left="-15" w:right="-10"/>
      </w:pPr>
      <w:r>
        <w:rPr>
          <w:b/>
        </w:rPr>
        <w:t>Cost Savings:</w:t>
      </w:r>
      <w:r>
        <w:t xml:space="preserve"> On occasion, online education may prove to be more cost-efficient in comparison to traditional education due to diminished infrastructure expenses. This could potentially render education more financially attainable for a broader array of individuals. </w:t>
      </w:r>
    </w:p>
    <w:p w14:paraId="6AAD3812" w14:textId="77777777" w:rsidR="00FB19C3" w:rsidRDefault="00000000">
      <w:pPr>
        <w:spacing w:after="111" w:line="259" w:lineRule="auto"/>
        <w:ind w:left="-5" w:hanging="10"/>
        <w:jc w:val="left"/>
      </w:pPr>
      <w:r>
        <w:rPr>
          <w:b/>
        </w:rPr>
        <w:t xml:space="preserve">Business Impact </w:t>
      </w:r>
    </w:p>
    <w:p w14:paraId="124CE8E0" w14:textId="77777777" w:rsidR="00FB19C3" w:rsidRDefault="00000000">
      <w:pPr>
        <w:ind w:left="-15" w:right="-10"/>
      </w:pPr>
      <w:r>
        <w:rPr>
          <w:b/>
        </w:rPr>
        <w:t>EdTech Innovation:</w:t>
      </w:r>
      <w:r>
        <w:t xml:space="preserve"> The undertaking can potentially illuminate areas within the EdTech sector that require improvement or innovation. This may subsequently lead to the creation of novel educational technologies, platforms, or tools that enhance the virtual learning experience. </w:t>
      </w:r>
    </w:p>
    <w:p w14:paraId="2B8EA727" w14:textId="77777777" w:rsidR="00FB19C3" w:rsidRDefault="00000000">
      <w:pPr>
        <w:spacing w:after="0" w:line="259" w:lineRule="auto"/>
        <w:ind w:left="720" w:firstLine="0"/>
        <w:jc w:val="left"/>
      </w:pPr>
      <w:r>
        <w:t xml:space="preserve"> </w:t>
      </w:r>
    </w:p>
    <w:p w14:paraId="1AAF4B7A" w14:textId="77777777" w:rsidR="00FB19C3" w:rsidRDefault="00000000">
      <w:pPr>
        <w:ind w:left="-15" w:right="-10"/>
      </w:pPr>
      <w:r>
        <w:rPr>
          <w:b/>
        </w:rPr>
        <w:lastRenderedPageBreak/>
        <w:t>Market Insights:</w:t>
      </w:r>
      <w:r>
        <w:t xml:space="preserve"> The analysis has the potential to offer invaluable insights into learner preferences, engagement patterns, and pain points within the realm of online education. EdTech enterprises can capitalize on these insights to further refine their offerings and gain a more substantial market share. </w:t>
      </w:r>
    </w:p>
    <w:p w14:paraId="51EF45A9" w14:textId="77777777" w:rsidR="00FB19C3" w:rsidRDefault="00000000">
      <w:pPr>
        <w:spacing w:after="112" w:line="259" w:lineRule="auto"/>
        <w:ind w:left="720" w:firstLine="0"/>
        <w:jc w:val="left"/>
      </w:pPr>
      <w:r>
        <w:t xml:space="preserve"> </w:t>
      </w:r>
    </w:p>
    <w:p w14:paraId="63504307" w14:textId="77777777" w:rsidR="00FB19C3" w:rsidRDefault="00000000">
      <w:pPr>
        <w:ind w:left="-15" w:right="-10"/>
      </w:pPr>
      <w:r>
        <w:rPr>
          <w:b/>
        </w:rPr>
        <w:t>Professional Development:</w:t>
      </w:r>
      <w:r>
        <w:t xml:space="preserve"> If the project discovers effective approaches for online professional development and upskilling, corporations can apply these insights to train their workforce in a more efficient and cost-effective manner. </w:t>
      </w:r>
    </w:p>
    <w:p w14:paraId="19284D32" w14:textId="77777777" w:rsidR="00FB19C3" w:rsidRDefault="00000000">
      <w:pPr>
        <w:spacing w:after="112" w:line="259" w:lineRule="auto"/>
        <w:ind w:left="720" w:firstLine="0"/>
        <w:jc w:val="left"/>
      </w:pPr>
      <w:r>
        <w:t xml:space="preserve"> </w:t>
      </w:r>
    </w:p>
    <w:p w14:paraId="3A262EFC" w14:textId="77777777" w:rsidR="00FB19C3" w:rsidRDefault="00000000">
      <w:pPr>
        <w:ind w:left="-15" w:right="-10"/>
      </w:pPr>
      <w:r>
        <w:rPr>
          <w:b/>
        </w:rPr>
        <w:t>Collaboration Prospects:</w:t>
      </w:r>
      <w:r>
        <w:t xml:space="preserve"> The results of the project have the potential to ignite collaboration among educational institutions, corporations, and technology companies with the aim of augmenting the caliber of online education. Such partnerships could yield mutual benefits for both the education and corporate sectors. </w:t>
      </w:r>
    </w:p>
    <w:p w14:paraId="65E55FBF" w14:textId="77777777" w:rsidR="00FB19C3" w:rsidRDefault="00000000">
      <w:pPr>
        <w:spacing w:after="115" w:line="259" w:lineRule="auto"/>
        <w:ind w:left="720" w:firstLine="0"/>
        <w:jc w:val="left"/>
      </w:pPr>
      <w:r>
        <w:t xml:space="preserve"> </w:t>
      </w:r>
    </w:p>
    <w:p w14:paraId="2B97194D" w14:textId="77777777" w:rsidR="00FB19C3" w:rsidRDefault="00000000">
      <w:pPr>
        <w:ind w:left="-15" w:right="-10"/>
      </w:pPr>
      <w:r>
        <w:rPr>
          <w:b/>
        </w:rPr>
        <w:t>Assurance of Quality:</w:t>
      </w:r>
      <w:r>
        <w:t xml:space="preserve"> The project's proposals could serve as a benchmark for enterprises that offer online education services to heighten the standard of their provisions, consequently leading to higher levels of customer contentment and allegiance. </w:t>
      </w:r>
    </w:p>
    <w:p w14:paraId="5EB25C90" w14:textId="77777777" w:rsidR="00FB19C3" w:rsidRDefault="00000000">
      <w:pPr>
        <w:spacing w:after="0" w:line="259" w:lineRule="auto"/>
        <w:ind w:firstLine="0"/>
        <w:jc w:val="left"/>
      </w:pPr>
      <w:r>
        <w:t xml:space="preserve"> </w:t>
      </w:r>
    </w:p>
    <w:sectPr w:rsidR="00FB19C3">
      <w:pgSz w:w="11906" w:h="16838"/>
      <w:pgMar w:top="1445" w:right="1439" w:bottom="18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266D9"/>
    <w:multiLevelType w:val="hybridMultilevel"/>
    <w:tmpl w:val="DC6E1B7E"/>
    <w:lvl w:ilvl="0" w:tplc="16C60AA6">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4A87F1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B4EDD1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598121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F42F91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01C477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C0ACA2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5C6434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8F269F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811290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O2MDYyM7G0MDe3MDFU0lEKTi0uzszPAykwrAUAv/bSgywAAAA="/>
  </w:docVars>
  <w:rsids>
    <w:rsidRoot w:val="00FB19C3"/>
    <w:rsid w:val="00F60A16"/>
    <w:rsid w:val="00FB1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0768"/>
  <w15:docId w15:val="{AC0EDD0A-D9A3-4A15-98AA-6A0BECF7C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357" w:lineRule="auto"/>
      <w:ind w:firstLine="7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Arthy Ramesh</dc:creator>
  <cp:keywords/>
  <cp:lastModifiedBy>bharti khemani</cp:lastModifiedBy>
  <cp:revision>2</cp:revision>
  <dcterms:created xsi:type="dcterms:W3CDTF">2023-08-13T06:54:00Z</dcterms:created>
  <dcterms:modified xsi:type="dcterms:W3CDTF">2023-08-13T06:54:00Z</dcterms:modified>
</cp:coreProperties>
</file>