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8FC" w:rsidRPr="007228FC" w:rsidRDefault="007228FC" w:rsidP="007228FC">
      <w:pPr>
        <w:pStyle w:val="Heading3"/>
        <w:shd w:val="clear" w:color="auto" w:fill="FFFFFF"/>
        <w:spacing w:before="300" w:beforeAutospacing="0" w:after="150" w:afterAutospacing="0" w:line="570" w:lineRule="atLeast"/>
        <w:jc w:val="center"/>
        <w:rPr>
          <w:rFonts w:ascii="Arial" w:hAnsi="Arial" w:cs="Arial"/>
          <w:color w:val="35475C"/>
          <w:sz w:val="38"/>
          <w:szCs w:val="38"/>
        </w:rPr>
      </w:pPr>
      <w:bookmarkStart w:id="0" w:name="_GoBack"/>
      <w:bookmarkEnd w:id="0"/>
      <w:r w:rsidRPr="007228FC">
        <w:rPr>
          <w:rFonts w:ascii="Arial" w:hAnsi="Arial" w:cs="Arial"/>
          <w:color w:val="35475C"/>
          <w:sz w:val="38"/>
          <w:szCs w:val="38"/>
        </w:rPr>
        <w:t xml:space="preserve">Unveiling The Virtual Classroom: An In-Depth Analysis </w:t>
      </w:r>
      <w:proofErr w:type="gramStart"/>
      <w:r w:rsidRPr="007228FC">
        <w:rPr>
          <w:rFonts w:ascii="Arial" w:hAnsi="Arial" w:cs="Arial"/>
          <w:color w:val="35475C"/>
          <w:sz w:val="38"/>
          <w:szCs w:val="38"/>
        </w:rPr>
        <w:t>Of</w:t>
      </w:r>
      <w:proofErr w:type="gramEnd"/>
      <w:r w:rsidRPr="007228FC">
        <w:rPr>
          <w:rFonts w:ascii="Arial" w:hAnsi="Arial" w:cs="Arial"/>
          <w:color w:val="35475C"/>
          <w:sz w:val="38"/>
          <w:szCs w:val="38"/>
        </w:rPr>
        <w:t xml:space="preserve"> The Online Education System</w:t>
      </w:r>
    </w:p>
    <w:p w:rsidR="007228FC" w:rsidRPr="007228FC" w:rsidRDefault="007228FC" w:rsidP="007228FC">
      <w:pPr>
        <w:jc w:val="center"/>
        <w:rPr>
          <w:rFonts w:ascii="Cambria" w:hAnsi="Cambria"/>
        </w:rPr>
      </w:pPr>
      <w:r w:rsidRPr="007228FC">
        <w:rPr>
          <w:rFonts w:ascii="Cambria" w:hAnsi="Cambria"/>
        </w:rPr>
        <w:t>LITREATURE SURVEY</w:t>
      </w:r>
    </w:p>
    <w:p w:rsid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In December 2019, an outbreak of a novel coronavirus, known as COVID-19, occurred in China and has spread rapidly across the globe within a few months. COVID-19 is an infectious disease caused by a new strain of coronavirus that attacks the respiratory system (World Health Organization, </w:t>
      </w:r>
      <w:hyperlink r:id="rId4" w:anchor="CR47" w:history="1">
        <w:r w:rsidRPr="007228FC">
          <w:rPr>
            <w:rFonts w:ascii="Cambria" w:eastAsia="Times New Roman" w:hAnsi="Cambria" w:cs="Times New Roman"/>
            <w:color w:val="376FAA"/>
            <w:sz w:val="30"/>
            <w:szCs w:val="30"/>
            <w:u w:val="single"/>
          </w:rPr>
          <w:t>2020</w:t>
        </w:r>
      </w:hyperlink>
      <w:r w:rsidRPr="007228FC">
        <w:rPr>
          <w:rFonts w:ascii="Cambria" w:eastAsia="Times New Roman" w:hAnsi="Cambria" w:cs="Times New Roman"/>
          <w:color w:val="212121"/>
          <w:sz w:val="30"/>
          <w:szCs w:val="30"/>
        </w:rPr>
        <w:t xml:space="preserve">). </w:t>
      </w:r>
    </w:p>
    <w:p w:rsid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As of January 2021, COVID-19 has infected 94 million people and has caused 2 million deaths in 191 countries and territories (John Hopkins University, </w:t>
      </w:r>
      <w:hyperlink r:id="rId5" w:anchor="CR26" w:history="1">
        <w:r w:rsidRPr="007228FC">
          <w:rPr>
            <w:rFonts w:ascii="Cambria" w:eastAsia="Times New Roman" w:hAnsi="Cambria" w:cs="Times New Roman"/>
            <w:color w:val="376FAA"/>
            <w:sz w:val="30"/>
            <w:szCs w:val="30"/>
            <w:u w:val="single"/>
          </w:rPr>
          <w:t>2021</w:t>
        </w:r>
      </w:hyperlink>
      <w:r w:rsidRPr="007228FC">
        <w:rPr>
          <w:rFonts w:ascii="Cambria" w:eastAsia="Times New Roman" w:hAnsi="Cambria" w:cs="Times New Roman"/>
          <w:color w:val="212121"/>
          <w:sz w:val="30"/>
          <w:szCs w:val="30"/>
        </w:rPr>
        <w:t xml:space="preserve">). This pandemic has created a massive disruption of the educational systems, affecting over 1.5 billion students. It has forced the government to cancel national examinations and the schools to temporarily close, cease face-to-face instruction, and strictly observe physical distancing. These events have sparked the digital transformation of higher education and challenged its ability to respond promptly and effectively. Schools adopted relevant technologies, prepared learning and staff resources, set systems and infrastructure, established new teaching protocols, and adjusted their curricula. </w:t>
      </w:r>
    </w:p>
    <w:p w:rsid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However, the transition was smooth for some schools but rough for others, particularly those from developing countries with limited infrastructure (Pham &amp; Nguyen, </w:t>
      </w:r>
      <w:hyperlink r:id="rId6" w:anchor="CR32" w:history="1">
        <w:r w:rsidRPr="007228FC">
          <w:rPr>
            <w:rFonts w:ascii="Cambria" w:eastAsia="Times New Roman" w:hAnsi="Cambria" w:cs="Times New Roman"/>
            <w:color w:val="376FAA"/>
            <w:sz w:val="30"/>
            <w:szCs w:val="30"/>
            <w:u w:val="single"/>
          </w:rPr>
          <w:t>2020</w:t>
        </w:r>
      </w:hyperlink>
      <w:r w:rsidRPr="007228FC">
        <w:rPr>
          <w:rFonts w:ascii="Cambria" w:eastAsia="Times New Roman" w:hAnsi="Cambria" w:cs="Times New Roman"/>
          <w:color w:val="212121"/>
          <w:sz w:val="30"/>
          <w:szCs w:val="30"/>
        </w:rPr>
        <w:t xml:space="preserve">; </w:t>
      </w:r>
      <w:proofErr w:type="spellStart"/>
      <w:r w:rsidRPr="007228FC">
        <w:rPr>
          <w:rFonts w:ascii="Cambria" w:eastAsia="Times New Roman" w:hAnsi="Cambria" w:cs="Times New Roman"/>
          <w:color w:val="212121"/>
          <w:sz w:val="30"/>
          <w:szCs w:val="30"/>
        </w:rPr>
        <w:t>Simbulan</w:t>
      </w:r>
      <w:proofErr w:type="spellEnd"/>
      <w:r w:rsidRPr="007228FC">
        <w:rPr>
          <w:rFonts w:ascii="Cambria" w:eastAsia="Times New Roman" w:hAnsi="Cambria" w:cs="Times New Roman"/>
          <w:color w:val="212121"/>
          <w:sz w:val="30"/>
          <w:szCs w:val="30"/>
        </w:rPr>
        <w:t>, </w:t>
      </w:r>
      <w:hyperlink r:id="rId7" w:anchor="CR37" w:history="1">
        <w:r w:rsidRPr="007228FC">
          <w:rPr>
            <w:rFonts w:ascii="Cambria" w:eastAsia="Times New Roman" w:hAnsi="Cambria" w:cs="Times New Roman"/>
            <w:color w:val="376FAA"/>
            <w:sz w:val="30"/>
            <w:szCs w:val="30"/>
            <w:u w:val="single"/>
          </w:rPr>
          <w:t>2020</w:t>
        </w:r>
      </w:hyperlink>
      <w:r w:rsidRPr="007228FC">
        <w:rPr>
          <w:rFonts w:ascii="Cambria" w:eastAsia="Times New Roman" w:hAnsi="Cambria" w:cs="Times New Roman"/>
          <w:color w:val="212121"/>
          <w:sz w:val="30"/>
          <w:szCs w:val="30"/>
        </w:rPr>
        <w:t>).Inevitably, schools and other learning spaces were forced to migrate to full online learning as the world continues the battle to control the vicious spread of the virus.</w:t>
      </w:r>
    </w:p>
    <w:p w:rsid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 xml:space="preserve"> Online learning refers to a learning environment that uses the Internet and other technological devices and tools for synchronous and asynchronous instructional delivery and management of academic programs (Usher &amp; Barak, </w:t>
      </w:r>
      <w:hyperlink r:id="rId8" w:anchor="CR44" w:history="1">
        <w:r w:rsidRPr="007228FC">
          <w:rPr>
            <w:rFonts w:ascii="Cambria" w:eastAsia="Times New Roman" w:hAnsi="Cambria" w:cs="Times New Roman"/>
            <w:color w:val="376FAA"/>
            <w:sz w:val="30"/>
            <w:szCs w:val="30"/>
            <w:u w:val="single"/>
          </w:rPr>
          <w:t>2020</w:t>
        </w:r>
      </w:hyperlink>
      <w:r w:rsidRPr="007228FC">
        <w:rPr>
          <w:rFonts w:ascii="Cambria" w:eastAsia="Times New Roman" w:hAnsi="Cambria" w:cs="Times New Roman"/>
          <w:color w:val="212121"/>
          <w:sz w:val="30"/>
          <w:szCs w:val="30"/>
        </w:rPr>
        <w:t>; Huang, </w:t>
      </w:r>
      <w:hyperlink r:id="rId9" w:anchor="CR25" w:history="1">
        <w:r w:rsidRPr="007228FC">
          <w:rPr>
            <w:rFonts w:ascii="Cambria" w:eastAsia="Times New Roman" w:hAnsi="Cambria" w:cs="Times New Roman"/>
            <w:color w:val="376FAA"/>
            <w:sz w:val="30"/>
            <w:szCs w:val="30"/>
            <w:u w:val="single"/>
          </w:rPr>
          <w:t>2019</w:t>
        </w:r>
      </w:hyperlink>
      <w:r w:rsidRPr="007228FC">
        <w:rPr>
          <w:rFonts w:ascii="Cambria" w:eastAsia="Times New Roman" w:hAnsi="Cambria" w:cs="Times New Roman"/>
          <w:color w:val="212121"/>
          <w:sz w:val="30"/>
          <w:szCs w:val="30"/>
        </w:rPr>
        <w:t xml:space="preserve">). </w:t>
      </w:r>
    </w:p>
    <w:p w:rsid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 xml:space="preserve">Synchronous online learning involves real-time interactions between the teacher and the students, while asynchronous online </w:t>
      </w:r>
      <w:r w:rsidRPr="007228FC">
        <w:rPr>
          <w:rFonts w:ascii="Cambria" w:eastAsia="Times New Roman" w:hAnsi="Cambria" w:cs="Times New Roman"/>
          <w:color w:val="212121"/>
          <w:sz w:val="30"/>
          <w:szCs w:val="30"/>
        </w:rPr>
        <w:lastRenderedPageBreak/>
        <w:t>learning occurs without a strict schedule for different students (Singh &amp; Thurman, </w:t>
      </w:r>
      <w:hyperlink r:id="rId10" w:anchor="CR39" w:history="1">
        <w:r w:rsidRPr="007228FC">
          <w:rPr>
            <w:rFonts w:ascii="Cambria" w:eastAsia="Times New Roman" w:hAnsi="Cambria" w:cs="Times New Roman"/>
            <w:color w:val="376FAA"/>
            <w:sz w:val="30"/>
            <w:szCs w:val="30"/>
            <w:u w:val="single"/>
          </w:rPr>
          <w:t>2019</w:t>
        </w:r>
      </w:hyperlink>
      <w:r w:rsidRPr="007228FC">
        <w:rPr>
          <w:rFonts w:ascii="Cambria" w:eastAsia="Times New Roman" w:hAnsi="Cambria" w:cs="Times New Roman"/>
          <w:color w:val="212121"/>
          <w:sz w:val="30"/>
          <w:szCs w:val="30"/>
        </w:rPr>
        <w:t xml:space="preserve">). </w:t>
      </w:r>
    </w:p>
    <w:p w:rsid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 xml:space="preserve">Within the context of the COVID-19 pandemic, online learning has taken the status of interim remote teaching that serves as a response to an exigency. </w:t>
      </w:r>
    </w:p>
    <w:p w:rsid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However, the migration to a new learning space has faced several major concerns relating to policy, pedagogy, logistics, socioeconomic factors, technology, and psychosocial factors (</w:t>
      </w:r>
      <w:proofErr w:type="spellStart"/>
      <w:r w:rsidRPr="007228FC">
        <w:rPr>
          <w:rFonts w:ascii="Cambria" w:eastAsia="Times New Roman" w:hAnsi="Cambria" w:cs="Times New Roman"/>
          <w:color w:val="212121"/>
          <w:sz w:val="30"/>
          <w:szCs w:val="30"/>
        </w:rPr>
        <w:t>Donitsa</w:t>
      </w:r>
      <w:proofErr w:type="spellEnd"/>
      <w:r w:rsidRPr="007228FC">
        <w:rPr>
          <w:rFonts w:ascii="Cambria" w:eastAsia="Times New Roman" w:hAnsi="Cambria" w:cs="Times New Roman"/>
          <w:color w:val="212121"/>
          <w:sz w:val="30"/>
          <w:szCs w:val="30"/>
        </w:rPr>
        <w:t xml:space="preserve">-Schmidt &amp; </w:t>
      </w:r>
      <w:proofErr w:type="spellStart"/>
      <w:r w:rsidRPr="007228FC">
        <w:rPr>
          <w:rFonts w:ascii="Cambria" w:eastAsia="Times New Roman" w:hAnsi="Cambria" w:cs="Times New Roman"/>
          <w:color w:val="212121"/>
          <w:sz w:val="30"/>
          <w:szCs w:val="30"/>
        </w:rPr>
        <w:t>Ramot</w:t>
      </w:r>
      <w:proofErr w:type="spellEnd"/>
      <w:r w:rsidRPr="007228FC">
        <w:rPr>
          <w:rFonts w:ascii="Cambria" w:eastAsia="Times New Roman" w:hAnsi="Cambria" w:cs="Times New Roman"/>
          <w:color w:val="212121"/>
          <w:sz w:val="30"/>
          <w:szCs w:val="30"/>
        </w:rPr>
        <w:t>, </w:t>
      </w:r>
      <w:hyperlink r:id="rId11" w:anchor="CR17" w:history="1">
        <w:r w:rsidRPr="007228FC">
          <w:rPr>
            <w:rFonts w:ascii="Cambria" w:eastAsia="Times New Roman" w:hAnsi="Cambria" w:cs="Times New Roman"/>
            <w:color w:val="376FAA"/>
            <w:sz w:val="30"/>
            <w:szCs w:val="30"/>
            <w:u w:val="single"/>
          </w:rPr>
          <w:t>2020</w:t>
        </w:r>
      </w:hyperlink>
      <w:r w:rsidRPr="007228FC">
        <w:rPr>
          <w:rFonts w:ascii="Cambria" w:eastAsia="Times New Roman" w:hAnsi="Cambria" w:cs="Times New Roman"/>
          <w:color w:val="212121"/>
          <w:sz w:val="30"/>
          <w:szCs w:val="30"/>
        </w:rPr>
        <w:t>; Khalil et al., </w:t>
      </w:r>
      <w:hyperlink r:id="rId12" w:anchor="CR29" w:history="1">
        <w:r w:rsidRPr="007228FC">
          <w:rPr>
            <w:rFonts w:ascii="Cambria" w:eastAsia="Times New Roman" w:hAnsi="Cambria" w:cs="Times New Roman"/>
            <w:color w:val="376FAA"/>
            <w:sz w:val="30"/>
            <w:szCs w:val="30"/>
            <w:u w:val="single"/>
          </w:rPr>
          <w:t>2020</w:t>
        </w:r>
      </w:hyperlink>
      <w:r w:rsidRPr="007228FC">
        <w:rPr>
          <w:rFonts w:ascii="Cambria" w:eastAsia="Times New Roman" w:hAnsi="Cambria" w:cs="Times New Roman"/>
          <w:color w:val="212121"/>
          <w:sz w:val="30"/>
          <w:szCs w:val="30"/>
        </w:rPr>
        <w:t xml:space="preserve">; </w:t>
      </w:r>
      <w:proofErr w:type="spellStart"/>
      <w:r w:rsidRPr="007228FC">
        <w:rPr>
          <w:rFonts w:ascii="Cambria" w:eastAsia="Times New Roman" w:hAnsi="Cambria" w:cs="Times New Roman"/>
          <w:color w:val="212121"/>
          <w:sz w:val="30"/>
          <w:szCs w:val="30"/>
        </w:rPr>
        <w:t>Varea</w:t>
      </w:r>
      <w:proofErr w:type="spellEnd"/>
      <w:r w:rsidRPr="007228FC">
        <w:rPr>
          <w:rFonts w:ascii="Cambria" w:eastAsia="Times New Roman" w:hAnsi="Cambria" w:cs="Times New Roman"/>
          <w:color w:val="212121"/>
          <w:sz w:val="30"/>
          <w:szCs w:val="30"/>
        </w:rPr>
        <w:t xml:space="preserve"> &amp; González-</w:t>
      </w:r>
      <w:proofErr w:type="spellStart"/>
      <w:r w:rsidRPr="007228FC">
        <w:rPr>
          <w:rFonts w:ascii="Cambria" w:eastAsia="Times New Roman" w:hAnsi="Cambria" w:cs="Times New Roman"/>
          <w:color w:val="212121"/>
          <w:sz w:val="30"/>
          <w:szCs w:val="30"/>
        </w:rPr>
        <w:t>Calvo</w:t>
      </w:r>
      <w:proofErr w:type="spellEnd"/>
      <w:r w:rsidRPr="007228FC">
        <w:rPr>
          <w:rFonts w:ascii="Cambria" w:eastAsia="Times New Roman" w:hAnsi="Cambria" w:cs="Times New Roman"/>
          <w:color w:val="212121"/>
          <w:sz w:val="30"/>
          <w:szCs w:val="30"/>
        </w:rPr>
        <w:t>, </w:t>
      </w:r>
      <w:hyperlink r:id="rId13" w:anchor="CR45" w:history="1">
        <w:r w:rsidRPr="007228FC">
          <w:rPr>
            <w:rFonts w:ascii="Cambria" w:eastAsia="Times New Roman" w:hAnsi="Cambria" w:cs="Times New Roman"/>
            <w:color w:val="376FAA"/>
            <w:sz w:val="30"/>
            <w:szCs w:val="30"/>
            <w:u w:val="single"/>
          </w:rPr>
          <w:t>2020</w:t>
        </w:r>
      </w:hyperlink>
      <w:r w:rsidRPr="007228FC">
        <w:rPr>
          <w:rFonts w:ascii="Cambria" w:eastAsia="Times New Roman" w:hAnsi="Cambria" w:cs="Times New Roman"/>
          <w:color w:val="212121"/>
          <w:sz w:val="30"/>
          <w:szCs w:val="30"/>
        </w:rPr>
        <w:t xml:space="preserve">). </w:t>
      </w:r>
    </w:p>
    <w:p w:rsid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 xml:space="preserve">With reference to policies, government education agencies and schools scrambled to create fool-proof policies on governance structure, teacher management, and student management. </w:t>
      </w:r>
    </w:p>
    <w:p w:rsid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 xml:space="preserve">Teachers, who were used to conventional teaching delivery, were also obliged to embrace technology despite their lack of technological literacy. To address this problem, online learning webinars and peer support systems were launched. </w:t>
      </w:r>
    </w:p>
    <w:p w:rsidR="007228FC" w:rsidRPr="007228FC" w:rsidRDefault="007228FC" w:rsidP="007228FC">
      <w:pPr>
        <w:shd w:val="clear" w:color="auto" w:fill="FFFFFF"/>
        <w:spacing w:before="400" w:after="400" w:line="240" w:lineRule="auto"/>
        <w:ind w:firstLine="720"/>
        <w:jc w:val="both"/>
        <w:rPr>
          <w:rFonts w:ascii="Cambria" w:eastAsia="Times New Roman" w:hAnsi="Cambria" w:cs="Times New Roman"/>
          <w:color w:val="212121"/>
          <w:sz w:val="30"/>
          <w:szCs w:val="30"/>
        </w:rPr>
      </w:pPr>
      <w:r w:rsidRPr="007228FC">
        <w:rPr>
          <w:rFonts w:ascii="Cambria" w:eastAsia="Times New Roman" w:hAnsi="Cambria" w:cs="Times New Roman"/>
          <w:color w:val="212121"/>
          <w:sz w:val="30"/>
          <w:szCs w:val="30"/>
        </w:rPr>
        <w:t>On the part of the students, dropout rates increased due to economic, psychological, and academic reasons. Academically, although it is virtually possible for students to learn anything online, learning may perhaps be less than optimal, especially in courses that require face-to-face contact and direct interactions (</w:t>
      </w:r>
      <w:proofErr w:type="spellStart"/>
      <w:r w:rsidRPr="007228FC">
        <w:rPr>
          <w:rFonts w:ascii="Cambria" w:eastAsia="Times New Roman" w:hAnsi="Cambria" w:cs="Times New Roman"/>
          <w:color w:val="212121"/>
          <w:sz w:val="30"/>
          <w:szCs w:val="30"/>
        </w:rPr>
        <w:t>Franchi</w:t>
      </w:r>
      <w:proofErr w:type="spellEnd"/>
      <w:r w:rsidRPr="007228FC">
        <w:rPr>
          <w:rFonts w:ascii="Cambria" w:eastAsia="Times New Roman" w:hAnsi="Cambria" w:cs="Times New Roman"/>
          <w:color w:val="212121"/>
          <w:sz w:val="30"/>
          <w:szCs w:val="30"/>
        </w:rPr>
        <w:t>, </w:t>
      </w:r>
      <w:hyperlink r:id="rId14" w:anchor="CR21" w:history="1">
        <w:r w:rsidRPr="007228FC">
          <w:rPr>
            <w:rFonts w:ascii="Cambria" w:eastAsia="Times New Roman" w:hAnsi="Cambria" w:cs="Times New Roman"/>
            <w:color w:val="376FAA"/>
            <w:sz w:val="30"/>
            <w:szCs w:val="30"/>
            <w:u w:val="single"/>
          </w:rPr>
          <w:t>2020</w:t>
        </w:r>
      </w:hyperlink>
      <w:r w:rsidRPr="007228FC">
        <w:rPr>
          <w:rFonts w:ascii="Cambria" w:eastAsia="Times New Roman" w:hAnsi="Cambria" w:cs="Times New Roman"/>
          <w:color w:val="212121"/>
          <w:sz w:val="30"/>
          <w:szCs w:val="30"/>
        </w:rPr>
        <w:t>).</w:t>
      </w:r>
    </w:p>
    <w:p w:rsidR="007228FC" w:rsidRDefault="007228FC" w:rsidP="007228FC">
      <w:pPr>
        <w:jc w:val="both"/>
      </w:pPr>
    </w:p>
    <w:sectPr w:rsidR="007228FC" w:rsidSect="007B121B">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FC"/>
    <w:rsid w:val="007228FC"/>
    <w:rsid w:val="007B121B"/>
    <w:rsid w:val="00860D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A607"/>
  <w15:chartTrackingRefBased/>
  <w15:docId w15:val="{3B164FEE-98C5-4C64-939B-7F91D205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2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8FC"/>
    <w:rPr>
      <w:rFonts w:ascii="Times New Roman" w:eastAsia="Times New Roman" w:hAnsi="Times New Roman" w:cs="Times New Roman"/>
      <w:b/>
      <w:bCs/>
      <w:sz w:val="27"/>
      <w:szCs w:val="27"/>
    </w:rPr>
  </w:style>
  <w:style w:type="paragraph" w:customStyle="1" w:styleId="p">
    <w:name w:val="p"/>
    <w:basedOn w:val="Normal"/>
    <w:rsid w:val="007228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8FC"/>
    <w:rPr>
      <w:color w:val="0000FF"/>
      <w:u w:val="single"/>
    </w:rPr>
  </w:style>
  <w:style w:type="paragraph" w:styleId="BalloonText">
    <w:name w:val="Balloon Text"/>
    <w:basedOn w:val="Normal"/>
    <w:link w:val="BalloonTextChar"/>
    <w:uiPriority w:val="99"/>
    <w:semiHidden/>
    <w:unhideWhenUsed/>
    <w:rsid w:val="007228F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228F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49744">
      <w:bodyDiv w:val="1"/>
      <w:marLeft w:val="0"/>
      <w:marRight w:val="0"/>
      <w:marTop w:val="0"/>
      <w:marBottom w:val="0"/>
      <w:divBdr>
        <w:top w:val="none" w:sz="0" w:space="0" w:color="auto"/>
        <w:left w:val="none" w:sz="0" w:space="0" w:color="auto"/>
        <w:bottom w:val="none" w:sz="0" w:space="0" w:color="auto"/>
        <w:right w:val="none" w:sz="0" w:space="0" w:color="auto"/>
      </w:divBdr>
    </w:div>
    <w:div w:id="20921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162157/" TargetMode="External"/><Relationship Id="rId13" Type="http://schemas.openxmlformats.org/officeDocument/2006/relationships/hyperlink" Target="https://www.ncbi.nlm.nih.gov/pmc/articles/PMC8162157/" TargetMode="External"/><Relationship Id="rId3" Type="http://schemas.openxmlformats.org/officeDocument/2006/relationships/webSettings" Target="webSettings.xml"/><Relationship Id="rId7" Type="http://schemas.openxmlformats.org/officeDocument/2006/relationships/hyperlink" Target="https://www.ncbi.nlm.nih.gov/pmc/articles/PMC8162157/" TargetMode="External"/><Relationship Id="rId12" Type="http://schemas.openxmlformats.org/officeDocument/2006/relationships/hyperlink" Target="https://www.ncbi.nlm.nih.gov/pmc/articles/PMC816215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mc/articles/PMC8162157/" TargetMode="External"/><Relationship Id="rId11" Type="http://schemas.openxmlformats.org/officeDocument/2006/relationships/hyperlink" Target="https://www.ncbi.nlm.nih.gov/pmc/articles/PMC8162157/" TargetMode="External"/><Relationship Id="rId5" Type="http://schemas.openxmlformats.org/officeDocument/2006/relationships/hyperlink" Target="https://www.ncbi.nlm.nih.gov/pmc/articles/PMC8162157/" TargetMode="External"/><Relationship Id="rId15" Type="http://schemas.openxmlformats.org/officeDocument/2006/relationships/fontTable" Target="fontTable.xml"/><Relationship Id="rId10" Type="http://schemas.openxmlformats.org/officeDocument/2006/relationships/hyperlink" Target="https://www.ncbi.nlm.nih.gov/pmc/articles/PMC8162157/" TargetMode="External"/><Relationship Id="rId4" Type="http://schemas.openxmlformats.org/officeDocument/2006/relationships/hyperlink" Target="https://www.ncbi.nlm.nih.gov/pmc/articles/PMC8162157/" TargetMode="External"/><Relationship Id="rId9" Type="http://schemas.openxmlformats.org/officeDocument/2006/relationships/hyperlink" Target="https://www.ncbi.nlm.nih.gov/pmc/articles/PMC8162157/" TargetMode="External"/><Relationship Id="rId14" Type="http://schemas.openxmlformats.org/officeDocument/2006/relationships/hyperlink" Target="https://www.ncbi.nlm.nih.gov/pmc/articles/PMC8162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2023-08-14T09:48:00Z</dcterms:created>
  <dcterms:modified xsi:type="dcterms:W3CDTF">2023-08-14T09:50:00Z</dcterms:modified>
</cp:coreProperties>
</file>