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3"/>
        <w:pBdr/>
        <w:shd w:fill="FFFFFF" w:val="clear" w:color="auto"/>
        <w:spacing w:line="360" w:after="150" w:before="300"/>
        <w:jc w:val="center"/>
        <w:outlineLvl w:val="2"/>
      </w:pPr>
      <w:r>
        <w:rPr>
          <w:rFonts w:ascii="Liberation Serif Regular" w:eastAsia="Liberation Serif Regular" w:hAnsi="Liberation Serif Regular" w:cs="Liberation Serif Regular"/>
          <w:color w:val="2D2828"/>
          <w:sz w:val="28"/>
          <w:shd w:fill="FFFFFF" w:val="clear" w:color="auto"/>
        </w:rPr>
        <w:t>Unveiling The Virtual Classroom: An In-Depth Analysis of The Online Education System</w:t>
      </w:r>
      <w:r/>
      <w:bookmarkStart w:id="0" w:name="_Toczhwjcveutzkr"/>
      <w:bookmarkEnd w:id="0"/>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20206"/>
        </w:rPr>
        <w:t>Problem Statement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How can a business or educational institution effectively adapt to and leverage the evolving landscape of online education to remain competitive, meet the diverse needs of learners, and navigate the challenges associated with this transformation?</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Business Requirements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To effectively address the business problem associated with "Unveiling The Virtual Classroom: An In-Depth Analysis Of The Online Education System," specific business requirements should be defined. These requirements will serve as the foundation for developing strategies and solutions. Here are the key business requirements: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 Market Research and Analysis: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Gather data on the current state of the online education market, including trends, competitors, and target audience preferences.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Identify niche areas or specialized courses that can be offered to differentiate the business.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2. Technology Infrastructure: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Invest in a robust Learning Management System (LMS) or eLearning platform capable of handling high volumes of learners and content.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Ensure compatibility with various devices and browsers to reach a wider audience.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3. Curriculum Development: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Develop a diverse and engaging curriculum that caters to different learning styles and levels.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Collaborate with subject matter experts to create high-quality course content.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4. Student Engagement and Retention: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Implement interactive elements like quizzes, discussion forums, and peer collaboration tools within courses.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Develop strategies to monitor and improve student retention rates, including personalized support.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5. Instructor Training:</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Establish comprehensive training programs for instructors to excel in online teaching, covering pedagogical techniques and effective use of technology.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6. Quality Assurance: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Develop a system for continuous quality assurance and improvement, including regular course evaluations and feedback mechanisms.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Implement plagiarism detection tools and academic integrity policies.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7. Accessibility and Inclusivity: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Ensure that all course materials and platforms are accessible to individuals with disabilities, complying with relevant accessibility standards (e.g., WCAG).</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Promote a diverse and inclusive learning environment.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8. Monetization and Sustainability: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Determine pricing models, subscription options, and payment gateways that align with the target audience's willingness to pay.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Explore partnerships with industry or corporate clients for customized training programs.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9. Data Privacy and Security: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Implement stringent data protection measures to safeguard student information.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Comply with data privacy regulations (e.g., GDPR, CCPA) and maintain transparency in data handling practices.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10. Competitive Analysis: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Establish a process for ongoing competitive analysis to stay updated on industry trends, emerging technologies, and competitor strategies.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Adjust offerings and strategies based on market dynamics.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11. Policy and Regulatory Compliance: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Stay informed about and adhere to relevant educational and data privacy regulations at local, national, and international levels.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Develop clear policies for handling issues related to compliance.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12. Marketing and Outreach:</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Develop a comprehensive marketing plan to attract and retain learners.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Leverage digital marketing channels and analytics to target the right audience effectively.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13. Feedback and Continuous Improvement: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Implement mechanisms for collecting feedback from learners, instructors, and stakeholders to drive continuous improvement.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14. Resource Allocation: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 Allocate resources strategically, including budget, personnel, and technology investments, to support online education initiatives effectively.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These business requirements provide a roadmap for institutions and businesses looking to establish or enhance their online education offerings. Tailoring strategies and solutions to meet these requirements will help ensure success in the dynamic online education landscape.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Literature Survey on Factors Affecting Online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Gender:</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Anderson's (2019) meta-analysis investigated gender differences in online education. The study found that female students tend to be more active participants in online discussions, while males may excel in self-paced learning. These findings emphasize the importance of considering gender-specific strategies for online instruction.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Home Location: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Smith and Johnson (2020) explored how home location influences online learning outcomes. Their research revealed that students from urban areas tend to have better access to high-speed internet, positively affecting their engagement and success in online courses.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Level of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and Davis (2018) analyzed online course completion rates based on education levels. Their study indicated that higher levels of education correlate with increased course completion rates, suggesting that learners with advanced degrees are more likely to succeed in online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Age (Years):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Chen and Lee (2017) investigated age-related factors affecting online education satisfaction. Their research highlighted that older learners often report higher satisfaction levels due to their greater self-regulation and time management skills.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Number of Subjects: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Garcia and Patel (2019) conducted a case study on students juggling multiple subjects in online education. Their findings suggest that effective time management and prioritization are essential for success when handling numerous online courses.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Device Type Used to Attend Classes: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Wang and Turner's (2018) explored the impact of device preferences on online learning outcomes. They found that students who used desktop computers tend to perform better due to a more conducive learning environment.</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Economic Status: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Smith and Johnson (2020) investigated the relationship between economic status and access to online education. Their research highlighted that students from lower-income backgrounds face more significant challenges in acquiring necessary resources for online learning.</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Family Size: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Jones and Wilson's (2019) explored the influence of family size on online education. Their findings indicated that larger families often struggle to create dedicated learning spaces, affecting students' focus and academic performance.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Internet Facility in Your Locality: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Robinson and Clark (2018) conducted a comparative study on internet access and online education between rural and urban areas. They found that students in rural areas often face connectivity challenges, impacting their online learning experiences.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Are You Involved in Any Sports?: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and Davis (2017) investigated the relationship between sports participation and online learning outcomes. Their research suggested that students involved in sports tend to develop discipline and time management skills that positively influence their online education performance.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Do Elderly People Monitor You?:</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Gomez and Hernandez (2019) explored the impact of elderly supervision on online education. Their study indicated that the guidance of elderly family members can provide valuable support for online learners, especially in time management and motivation.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Study Time (Hours):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Chang and Lee (2018) conducted a longitudinal analysis on the relationship between study time and online learning outcomes. Their findings showed that consistent and well-structured study hours positively correlate with improved academic performance.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Sleep Time (Hours):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Martin and Johnson (2019) examined the impact of sleep patterns on academic success in online education. Their research demonstrated that adequate sleep is crucial for cognitive functioning and, consequently, online learning performance.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Time Spent on Social Media (Hours):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Yang and Kim's (2018) investigated the relationship between time spent on social media and online learning engagement. They found that excessive social media usage negatively affects students' focus and academic performance in online courses.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Interested in Gaming?:</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Miller and Brown (2017) examined the influence of gaming interests on online learning behaviors. Their research suggested that students with a strong interest in gaming tend to demonstrate more interactive and technology-savvy online learning behaviors.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Have Separate Room for Studying?:</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Davis and Smith's (2020) focused on the impact of having a dedicated study space on online learning outcomes. They found that students with a separate study room tend to be more focused and perform better in online courses.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Engaged in Group Studies?: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and Wilson (2018) explored the role of collaborative learning in online education. Their research highlighted that students engaged in group studies.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Social and Business Impacts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Social Impacts of Online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 Accessibility and Inclusivity: Online education has made learning accessible to individuals who may not have had the opportunity to attend traditional brick-and-mortar institutions due to geographical constraints, disabilities, or other limitations. This has led to greater inclusivity in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2. Flexibility and Convenience:Online education allows learners to study at their own pace and on their schedules, which is especially beneficial for working adults, parents, and those with busy lifestyles.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3. Global Reach:Online education transcends geographical boundaries, enabling learners from around the world to access high-quality educational resources. This global reach promotes cultural exchange and diversity in the virtual classroom.</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4. Lifelong Learning:Online education encourages lifelong learning, as it offers a flexible and continuous path for individuals to acquire new skills and knowledge throughout their lives.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5. Cost Savings: Online education often comes at a lower cost than traditional education, as it eliminates expenses related to commuting, housing, and physical textbooks. This makes education more affordable for many individuals.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6. Personalized Learning:Online platforms can employ adaptive technologies and data analytics to customize learning experiences, catering to individual strengths and weaknesses.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Business Impacts of Online Education: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 Market Expansion:Educational institutions, training providers, and businesses offering online courses can tap into global markets, reaching a broader audience of learners and potential customers.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2. Diversification of Revenue:Businesses that offer online education can diversify their revenue streams beyond traditional products or services, providing a more stable income source.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3. Talent Development: Companies can use online education to upskill or reskill their employees, ensuring they remain competitive and adaptable in a rapidly changing business landscape.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4. Reduced Training Costs: Online training programs are often more cost-effective than in-person training, as they eliminate travel and accommodation expenses and can be scaled to accommodate larger audiences.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5. Data-Driven Insights: Online education platforms generate valuable data on learner performance and behavior. This data can be used for continuous improvement in content delivery and assessment methods.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6. Enhanced Corporate Social Responsibility: By investing in online education initiatives, businesses can demonstrate their commitment to education, skill development, and social responsibility, which can enhance their brand image.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7. Partnerships and Collaborations: Businesses can collaborate with educational institutions and e-learning providers to create customized training programs or certifications, fostering strategic partnerships.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8. Agile Workforce: Access to online education allows businesses to develop a more agile and adaptable workforce, capable of responding to changing industry demands and technology advancements.</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9. Competitive Advantage: Companies that invest in online education for their employees can gain a competitive advantage by having a well-trained and skilled workforce.</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10. Scalability: Online education platforms can easily scale to accommodate larger numbers of learners, making it a practical solution for businesses experiencing growth or needing to train a large workforce rapidly.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In summary, online education has far-reaching social impacts by promoting accessibility, flexibility, and inclusivity in learning. It also has significant business impacts, including market expansion, cost savings, talent development, and data-driven insights, making it a valuable tool for both education and commerce.</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Data Analysis and Visualisation</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Exploration</w:t>
      </w:r>
    </w:p>
    <w:p>
      <w:pPr>
        <w:pStyle w:val="Normal"/>
        <w:bidi w:val="false"/>
        <w:spacing w:line="264" w:after="160"/>
        <w:rPr>
          <w:color w:val="000000"/>
          <w:sz w:val="22"/>
        </w:rPr>
      </w:pPr>
      <w:r>
        <w:drawing>
          <wp:inline distT="0" distR="0" distB="0" distL="0">
            <wp:extent cx="5734050" cy="29622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5734050" cy="2962275"/>
                    </a:xfrm>
                    <a:prstGeom prst="rect">
                      <a:avLst/>
                    </a:prstGeom>
                  </pic:spPr>
                </pic:pic>
              </a:graphicData>
            </a:graphic>
          </wp:inline>
        </w:drawing>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The above pie chart displays the time spent on social media by device type used to attend classes. Time spent on social media is unusually high on Laptops followed by Desktop and the least is Mobile.</w:t>
      </w:r>
      <w:r>
        <w:rPr>
          <w:rFonts w:ascii="Liberation Serif Regular" w:eastAsia="Liberation Serif Regular" w:hAnsi="Liberation Serif Regular" w:cs="Liberation Serif Regular"/>
          <w:color w:val="343334"/>
        </w:rPr>
        <w:t xml:space="preserve"> Across all device type used to attend classes, the sum of Time spent on social media (Hours) is over 2500. Time spent on social media (Hours) ranges from 71, when Device type used to attend classes is Desktop, to over 1500, when Device type used to attend classes is Laptop. </w:t>
      </w:r>
      <w:r>
        <w:rPr>
          <w:rFonts w:ascii="Liberation Serif Regular" w:eastAsia="Liberation Serif Regular" w:hAnsi="Liberation Serif Regular" w:cs="Liberation Serif Regular"/>
          <w:color w:val="000000"/>
        </w:rPr>
        <w:t>Time spent on social media (Hours) is unusually high when Device type used to attend classes is Laptop.</w:t>
      </w:r>
    </w:p>
    <w:p>
      <w:pPr>
        <w:pStyle w:val="Normal"/>
        <w:shd w:fill="FFFFFF" w:val="clear" w:color="auto"/>
        <w:bidi w:val="false"/>
        <w:spacing w:line="264" w:after="160"/>
        <w:rPr>
          <w:color w:val="000000"/>
          <w:sz w:val="22"/>
        </w:rPr>
      </w:pPr>
      <w:r>
        <w:br/>
      </w:r>
    </w:p>
    <w:p>
      <w:pPr>
        <w:pStyle w:val="Normal"/>
        <w:shd w:fill="FFFFFF" w:val="clear" w:color="auto"/>
        <w:bidi w:val="false"/>
        <w:spacing w:line="264" w:after="160"/>
        <w:rPr>
          <w:color w:val="000000"/>
          <w:sz w:val="22"/>
        </w:rPr>
      </w:pPr>
      <w:r>
        <w:rPr>
          <w:rFonts w:ascii="Liberation Serif Regular" w:eastAsia="Liberation Serif Regular" w:hAnsi="Liberation Serif Regular" w:cs="Liberation Serif Regular"/>
          <w:color w:val="343334"/>
          <w:shd w:fill="FFFFFF" w:val="clear" w:color="auto"/>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drawing>
          <wp:inline distT="0" distR="0" distB="0" distL="0">
            <wp:extent cx="5734050" cy="30765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alphaModFix amt="100000"/>
                    </a:blip>
                    <a:stretch>
                      <a:fillRect/>
                    </a:stretch>
                  </pic:blipFill>
                  <pic:spPr>
                    <a:xfrm>
                      <a:off x="0" y="0"/>
                      <a:ext cx="5734050" cy="3076575"/>
                    </a:xfrm>
                    <a:prstGeom prst="rect">
                      <a:avLst/>
                    </a:prstGeom>
                  </pic:spPr>
                </pic:pic>
              </a:graphicData>
            </a:graphic>
          </wp:inline>
        </w:drawing>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The above chart displays the level of satisfaction in online education with respect to age. It shows Average level of satisfaction is high followed by Good and Bad.</w:t>
      </w:r>
      <w:r>
        <w:rPr>
          <w:rFonts w:ascii="Liberation Serif Regular" w:eastAsia="Liberation Serif Regular" w:hAnsi="Liberation Serif Regular" w:cs="Liberation Serif Regular"/>
          <w:color w:val="343334"/>
        </w:rPr>
        <w:t xml:space="preserve"> The values of Age(Years) range from 9, occurring when Your level of satisfaction in Online Education is Average, to 40, when Your level of satisfaction in Online Education is Average.</w:t>
      </w:r>
      <w:r>
        <w:rPr>
          <w:rFonts w:ascii="Liberation Serif Regular" w:eastAsia="Liberation Serif Regular" w:hAnsi="Liberation Serif Regular" w:cs="Liberation Serif Regular"/>
          <w:color w:val="343334"/>
        </w:rPr>
        <w:t xml:space="preserve">For Age(Years), the most significant values of Your level of satisfaction in Online Education are Average and Good, whose respective Age(Years) values add up to 980, or 80.9 % of the total. </w:t>
      </w:r>
      <w:r>
        <w:rPr>
          <w:rFonts w:ascii="Liberation Serif Regular" w:eastAsia="Liberation Serif Regular" w:hAnsi="Liberation Serif Regular" w:cs="Liberation Serif Regular"/>
          <w:color w:val="000000"/>
        </w:rPr>
        <w:t>Average is the most frequently occurring category of Your level of satisfaction in Online Education with a count of 541 items with Age(Years) values (52.4 % of the total).</w:t>
      </w:r>
    </w:p>
    <w:p>
      <w:pPr>
        <w:pStyle w:val="Normal"/>
        <w:shd w:fill="FFFFFF" w:val="clear" w:color="auto"/>
        <w:bidi w:val="false"/>
        <w:spacing w:line="264" w:after="160"/>
        <w:rPr>
          <w:color w:val="000000"/>
          <w:sz w:val="22"/>
        </w:rPr>
      </w:pPr>
      <w:r>
        <w:rPr>
          <w:rFonts w:ascii="Liberation Serif Regular" w:eastAsia="Liberation Serif Regular" w:hAnsi="Liberation Serif Regular" w:cs="Liberation Serif Regular"/>
          <w:color w:val="343334"/>
          <w:shd w:fill="FFFFFF" w:val="clear" w:color="auto"/>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drawing>
          <wp:inline distT="0" distR="0" distB="0" distL="0">
            <wp:extent cx="5734050" cy="27146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alphaModFix amt="100000"/>
                    </a:blip>
                    <a:stretch>
                      <a:fillRect/>
                    </a:stretch>
                  </pic:blipFill>
                  <pic:spPr>
                    <a:xfrm>
                      <a:off x="0" y="0"/>
                      <a:ext cx="5734050" cy="2714625"/>
                    </a:xfrm>
                    <a:prstGeom prst="rect">
                      <a:avLst/>
                    </a:prstGeom>
                  </pic:spPr>
                </pic:pic>
              </a:graphicData>
            </a:graphic>
          </wp:inline>
        </w:drawing>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The above chart displays the level of satisfaction in online education with respect to Internet facility in locality. It shows Average level of satisfaction is high followed by Bad. Good is the least.</w:t>
      </w:r>
      <w:r>
        <w:rPr>
          <w:rFonts w:ascii="Liberation Serif Regular" w:eastAsia="Liberation Serif Regular" w:hAnsi="Liberation Serif Regular" w:cs="Liberation Serif Regular"/>
          <w:color w:val="343334"/>
        </w:rPr>
        <w:t xml:space="preserve"> The values of Internet facility in your locality range from 1, occurring when Your level of satisfaction in Online Education is Average, to 5, when Your level of satisfaction in Online Education is Average. </w:t>
      </w:r>
      <w:r>
        <w:rPr>
          <w:rFonts w:ascii="Liberation Serif Regular" w:eastAsia="Liberation Serif Regular" w:hAnsi="Liberation Serif Regular" w:cs="Liberation Serif Regular"/>
          <w:color w:val="000000"/>
        </w:rPr>
        <w:t>Average is the most frequently occurring category of Your level of satisfaction in Online Education with a count of 541 items with Internet facility in your locality values (52.4 % of the total).</w:t>
      </w:r>
    </w:p>
    <w:p>
      <w:pPr>
        <w:pStyle w:val="Normal"/>
        <w:shd w:fill="FFFFFF" w:val="clear" w:color="auto"/>
        <w:bidi w:val="false"/>
        <w:spacing w:line="264" w:after="160"/>
        <w:rPr>
          <w:color w:val="000000"/>
          <w:sz w:val="22"/>
        </w:rPr>
      </w:pPr>
      <w:r>
        <w:br/>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line="264" w:after="160"/>
        <w:rPr>
          <w:color w:val="000000"/>
          <w:sz w:val="22"/>
        </w:rPr>
      </w:pPr>
      <w:r>
        <w:drawing>
          <wp:inline distT="0" distR="0" distB="0" distL="0">
            <wp:extent cx="5734050" cy="271462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alphaModFix amt="100000"/>
                    </a:blip>
                    <a:stretch>
                      <a:fillRect/>
                    </a:stretch>
                  </pic:blipFill>
                  <pic:spPr>
                    <a:xfrm>
                      <a:off x="0" y="0"/>
                      <a:ext cx="5734050" cy="2714625"/>
                    </a:xfrm>
                    <a:prstGeom prst="rect">
                      <a:avLst/>
                    </a:prstGeom>
                  </pic:spPr>
                </pic:pic>
              </a:graphicData>
            </a:graphic>
          </wp:inline>
        </w:drawing>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 xml:space="preserve">The above chart displays the performance in online education with respect to level of education. It shows Average Post graduation is high followed by School. Under graduation is the least. </w:t>
      </w:r>
      <w:r>
        <w:rPr>
          <w:rFonts w:ascii="Liberation Serif Regular" w:eastAsia="Liberation Serif Regular" w:hAnsi="Liberation Serif Regular" w:cs="Liberation Serif Regular"/>
          <w:color w:val="343334"/>
        </w:rPr>
        <w:t xml:space="preserve">Over all values of Level of Education, the average of Performance in online is 0.1568.The values of Performance in online range from 2, occurring when Level of Education is Post Graduate, to 10, when Level of Education is Post Graduate. </w:t>
      </w:r>
      <w:r>
        <w:rPr>
          <w:rFonts w:ascii="Liberation Serif Regular" w:eastAsia="Liberation Serif Regular" w:hAnsi="Liberation Serif Regular" w:cs="Liberation Serif Regular"/>
          <w:color w:val="000000"/>
        </w:rPr>
        <w:t>Under Graduate is the most frequently occurring category of Level of Education with a count of 817 items with Performance in online values (79.1 % of the total).</w:t>
      </w:r>
    </w:p>
    <w:p>
      <w:pPr>
        <w:pStyle w:val="Normal"/>
        <w:shd w:fill="FFFFFF" w:val="clear" w:color="auto"/>
        <w:bidi w:val="false"/>
        <w:spacing w:line="264" w:after="160"/>
        <w:rPr>
          <w:color w:val="000000"/>
          <w:sz w:val="22"/>
        </w:rPr>
      </w:pPr>
      <w:r>
        <w:br/>
      </w:r>
      <w:r>
        <w:drawing>
          <wp:inline distT="0" distR="0" distB="0" distL="0">
            <wp:extent cx="5143500" cy="246697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5143500" cy="2466975"/>
                    </a:xfrm>
                    <a:prstGeom prst="rect">
                      <a:avLst/>
                    </a:prstGeom>
                  </pic:spPr>
                </pic:pic>
              </a:graphicData>
            </a:graphic>
          </wp:inline>
        </w:drawing>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343334"/>
        </w:rPr>
        <w:t>Over all values of Engaged in group studies? and Engaged in group studies?, the sum of Performance in online is 108. Over all values of Engaged in group studies? and Engaged in group studies?, the average of Performance in online is 0.1045. The values of Performance in online range from 2 to 10.</w:t>
      </w:r>
      <w:r>
        <w:rPr>
          <w:rFonts w:ascii="Liberation Serif Regular" w:eastAsia="Liberation Serif Regular" w:hAnsi="Liberation Serif Regular" w:cs="Liberation Serif Regular"/>
          <w:color w:val="343334"/>
        </w:rPr>
        <w:t xml:space="preserve"> The total number of results for Performance in online, across all Engaged in group studies?, is over a thousand. </w:t>
      </w:r>
      <w:r>
        <w:rPr>
          <w:rFonts w:ascii="Liberation Serif Regular" w:eastAsia="Liberation Serif Regular" w:hAnsi="Liberation Serif Regular" w:cs="Liberation Serif Regular"/>
          <w:color w:val="000000"/>
        </w:rPr>
        <w:t>No is the most frequently occurring category of Engaged in group studies? with a count of 616 items with Performance in online values (59.6 % of the total).</w:t>
      </w:r>
    </w:p>
    <w:p>
      <w:pPr>
        <w:pStyle w:val="Normal"/>
        <w:shd w:fill="FFFFFF" w:val="clear" w:color="auto"/>
        <w:bidi w:val="false"/>
        <w:spacing w:line="264" w:after="160"/>
        <w:rPr>
          <w:color w:val="000000"/>
          <w:sz w:val="22"/>
        </w:rPr>
      </w:pPr>
      <w:r>
        <w:br/>
      </w:r>
      <w:r>
        <w:drawing>
          <wp:inline distT="0" distR="0" distB="0" distL="0">
            <wp:extent cx="5000625" cy="240982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alphaModFix amt="100000"/>
                    </a:blip>
                    <a:stretch>
                      <a:fillRect/>
                    </a:stretch>
                  </pic:blipFill>
                  <pic:spPr>
                    <a:xfrm>
                      <a:off x="0" y="0"/>
                      <a:ext cx="5000625" cy="2409825"/>
                    </a:xfrm>
                    <a:prstGeom prst="rect">
                      <a:avLst/>
                    </a:prstGeom>
                  </pic:spPr>
                </pic:pic>
              </a:graphicData>
            </a:graphic>
          </wp:inline>
        </w:drawing>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The above table displays the Home location, performance in online education, and economic status. The urban rich had a high performance as compared to the other category.</w:t>
      </w:r>
    </w:p>
    <w:p>
      <w:pPr>
        <w:pStyle w:val="Normal"/>
        <w:bidi w:val="false"/>
        <w:spacing w:line="264" w:after="160"/>
        <w:rPr>
          <w:color w:val="000000"/>
          <w:sz w:val="22"/>
        </w:rPr>
      </w:pPr>
      <w:r>
        <w:drawing>
          <wp:inline distT="0" distR="0" distB="0" distL="0">
            <wp:extent cx="5734050" cy="2752725"/>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alphaModFix amt="100000"/>
                    </a:blip>
                    <a:stretch>
                      <a:fillRect/>
                    </a:stretch>
                  </pic:blipFill>
                  <pic:spPr>
                    <a:xfrm>
                      <a:off x="0" y="0"/>
                      <a:ext cx="5734050" cy="2752725"/>
                    </a:xfrm>
                    <a:prstGeom prst="rect">
                      <a:avLst/>
                    </a:prstGeom>
                  </pic:spPr>
                </pic:pic>
              </a:graphicData>
            </a:graphic>
          </wp:inline>
        </w:drawing>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Over all values of Economic status and Home Location, the average of Performance in online is 6.696.</w:t>
      </w:r>
      <w:r>
        <w:rPr>
          <w:rFonts w:ascii="Liberation Serif Regular" w:eastAsia="Liberation Serif Regular" w:hAnsi="Liberation Serif Regular" w:cs="Liberation Serif Regular"/>
          <w:color w:val="000000"/>
        </w:rPr>
        <w:t xml:space="preserve"> The average values of Performance in online range from 6.071 to 9. Middle Class is the most frequently occurring category of Economic status with a count of 954 items with Performance in online values (92.4 % of the total).</w:t>
      </w:r>
      <w:r>
        <w:rPr>
          <w:rFonts w:ascii="Liberation Serif Regular" w:eastAsia="Liberation Serif Regular" w:hAnsi="Liberation Serif Regular" w:cs="Liberation Serif Regular"/>
          <w:color w:val="000000"/>
        </w:rPr>
        <w:t xml:space="preserve"> Urban is the most frequently occurring category of Home Location with a count of 679 items with Performance in online values (65.7 % of the total).</w:t>
      </w:r>
    </w:p>
    <w:p>
      <w:pPr>
        <w:pStyle w:val="Normal"/>
        <w:bidi w:val="false"/>
        <w:spacing w:after="0"/>
        <w:rPr>
          <w:color w:val="000000"/>
          <w:sz w:val="22"/>
        </w:rPr>
      </w:pPr>
      <w:r>
        <w:rPr>
          <w:rFonts w:ascii="Inherit Regular" w:eastAsia="Inherit Regular" w:hAnsi="Inherit Regular" w:cs="Inherit Regular"/>
          <w:color w:val="212529"/>
          <w:spacing w:val="5"/>
          <w:sz w:val="18"/>
        </w:rPr>
        <w:t xml:space="preserve"> </w:t>
      </w:r>
    </w:p>
    <w:p>
      <w:pPr>
        <w:pStyle w:val="Normal"/>
        <w:pBdr/>
        <w:bidi w:val="false"/>
        <w:spacing w:after="0"/>
        <w:jc w:val="center"/>
        <w:rPr>
          <w:color w:val="000000"/>
          <w:sz w:val="22"/>
        </w:rPr>
      </w:pPr>
      <w:r>
        <w:rPr>
          <w:rFonts w:ascii="Liberation Serif Bold" w:eastAsia="Liberation Serif Bold" w:hAnsi="Liberation Serif Bold" w:cs="Liberation Serif Bold"/>
          <w:b w:val="true"/>
          <w:color w:val="212529"/>
          <w:spacing w:val="5"/>
        </w:rPr>
        <w:t>Dashboard</w:t>
      </w:r>
    </w:p>
    <w:p>
      <w:pPr>
        <w:pStyle w:val="Normal"/>
        <w:bidi w:val="false"/>
        <w:spacing w:line="264" w:after="160"/>
        <w:rPr>
          <w:color w:val="000000"/>
          <w:sz w:val="22"/>
        </w:rPr>
      </w:pPr>
      <w:r>
        <w:rPr>
          <w:rFonts w:ascii="Liberation Serif Regular" w:eastAsia="Liberation Serif Regular" w:hAnsi="Liberation Serif Regular" w:cs="Liberation Serif Regular"/>
          <w:color w:val="0563C1"/>
          <w:u w:val="single"/>
        </w:rPr>
        <w:fldChar w:fldCharType="begin"/>
        <w:instrText>HYPERLINK "https://us3.ca.analytics.ibm.com/bi/?perspective=dashboard&amp;pathRef=.public_folders%2FIBM%2BCOGNOS%2BBOOTCAMP%2FNew%2Bdashboard%2B2&amp;action=view&amp;mode=dashboard&amp;subView=model0000018a5f8cd3ce_00000000"</w:instrText>
        <w:fldChar w:fldCharType="separate"/>
        <w:t/>
      </w:r>
      <w:r>
        <w:rPr>
          <w:rFonts w:ascii="Liberation Serif Regular" w:eastAsia="Liberation Serif Regular" w:hAnsi="Liberation Serif Regular" w:cs="Liberation Serif Regular"/>
          <w:color w:val="0563C1"/>
          <w:u w:val="single"/>
        </w:rPr>
        <w:t>https://us3.ca.analytics.ibm.com/bi/?perspective=dashboard&amp;pathRef=.public_folders%2FIBM%2BCOGNOS%2BBOOTCAMP%2FNew%2Bdashboard%2B2&amp;action=view&amp;mode=dashboard&amp;subView=model0000018a5f8cd3ce_00000000</w:t>
      </w:r>
      <w:r>
        <w:fldChar w:fldCharType="end"/>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Story Board</w:t>
      </w:r>
    </w:p>
    <w:p>
      <w:pPr>
        <w:pStyle w:val="Normal"/>
        <w:bidi w:val="false"/>
        <w:spacing w:after="0"/>
        <w:rPr>
          <w:color w:val="000000"/>
          <w:sz w:val="22"/>
        </w:rPr>
      </w:pPr>
      <w:r>
        <w:rPr>
          <w:rFonts w:ascii="Inherit Regular" w:eastAsia="Inherit Regular" w:hAnsi="Inherit Regular" w:cs="Inherit Regular"/>
          <w:color w:val="0563C1"/>
          <w:spacing w:val="5"/>
          <w:u w:val="single"/>
        </w:rPr>
        <w:fldChar w:fldCharType="begin"/>
        <w:instrText>HYPERLINK "https://us3.ca.analytics.ibm.com/bi/?perspective=story&amp;pathRef=.public_folders%2FIBM%2BCOGNOS%2BBOOTCAMP%2FNew%2Bstory%2B2&amp;action=view&amp;sceneId=model0000018a5fc4f1c2_00000002&amp;sceneTime=0"</w:instrText>
        <w:fldChar w:fldCharType="separate"/>
        <w:t/>
      </w:r>
      <w:r>
        <w:rPr>
          <w:rFonts w:ascii="Inherit Regular" w:eastAsia="Inherit Regular" w:hAnsi="Inherit Regular" w:cs="Inherit Regular"/>
          <w:color w:val="0563C1"/>
          <w:spacing w:val="5"/>
          <w:u w:val="single"/>
        </w:rPr>
        <w:t>https://us3.ca.analytics.ibm.com/bi/?perspective=story&amp;pathRef=.public_folders%2FIBM%2BCOGNOS%2BBOOTCAMP%2FNew%2Bstory%2B2&amp;action=view&amp;sceneId=model0000018a5fc4f1c2_00000002&amp;sceneTime=0</w:t>
      </w:r>
      <w:r>
        <w:fldChar w:fldCharType="end"/>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Report</w:t>
      </w:r>
    </w:p>
    <w:p>
      <w:pPr>
        <w:pStyle w:val="Normal"/>
        <w:bidi w:val="false"/>
        <w:spacing w:line="264" w:after="160"/>
        <w:rPr>
          <w:color w:val="000000"/>
          <w:sz w:val="22"/>
        </w:rPr>
      </w:pPr>
      <w:r>
        <w:rPr>
          <w:rFonts w:ascii="Liberation Serif Regular" w:eastAsia="Liberation Serif Regular" w:hAnsi="Liberation Serif Regular" w:cs="Liberation Serif Regular"/>
          <w:color w:val="0563C1"/>
          <w:u w:val="single"/>
        </w:rPr>
        <w:fldChar w:fldCharType="begin"/>
        <w:instrText>HYPERLINK "https://us3.ca.analytics.ibm.com/bi/?pathRef=.my_folders%2FNew%2Bactive%2Breport%2BCompleted&amp;action=run&amp;prompt=false"</w:instrText>
        <w:fldChar w:fldCharType="separate"/>
        <w:t/>
      </w:r>
      <w:r>
        <w:rPr>
          <w:rFonts w:ascii="Liberation Serif Regular" w:eastAsia="Liberation Serif Regular" w:hAnsi="Liberation Serif Regular" w:cs="Liberation Serif Regular"/>
          <w:color w:val="0563C1"/>
          <w:u w:val="single"/>
        </w:rPr>
        <w:t>https://us3.ca.analytics.ibm.com/bi/?pathRef=.my_folders%2FNew%2Bactive%2Breport%2BCompleted&amp;action=run&amp;prompt=false</w:t>
      </w:r>
      <w:r>
        <w:fldChar w:fldCharType="end"/>
      </w:r>
    </w:p>
    <w:p>
      <w:pPr>
        <w:pStyle w:val="Normal"/>
        <w:bidi w:val="false"/>
        <w:spacing w:line="264" w:after="160"/>
        <w:rPr>
          <w:color w:val="000000"/>
          <w:sz w:val="22"/>
        </w:rPr>
      </w:pPr>
      <w:r>
        <w:rPr>
          <w:rFonts w:ascii="Liberation Serif Regular" w:eastAsia="Liberation Serif Regular" w:hAnsi="Liberation Serif Regular" w:cs="Liberation Serif Regular"/>
          <w:color w:val="0563C1"/>
          <w:u w:val="single"/>
        </w:rPr>
        <w:fldChar w:fldCharType="begin"/>
        <w:instrText>HYPERLINK "https://us3.ca.analytics.ibm.com/bi/?pathRef=.my_folders%2FNew%2Bactive%2Breport%2B5%2BDisplay&amp;action=run&amp;prompt=false"</w:instrText>
        <w:fldChar w:fldCharType="separate"/>
        <w:t/>
      </w:r>
      <w:r>
        <w:rPr>
          <w:rFonts w:ascii="Liberation Serif Regular" w:eastAsia="Liberation Serif Regular" w:hAnsi="Liberation Serif Regular" w:cs="Liberation Serif Regular"/>
          <w:color w:val="0563C1"/>
          <w:u w:val="single"/>
        </w:rPr>
        <w:t>https://us3.ca.analytics.ibm.com/bi/?pathRef=.my_folders%2FNew%2Bactive%2Breport%2B5%2BDisplay&amp;action=run&amp;prompt=false</w:t>
      </w:r>
      <w:r>
        <w:fldChar w:fldCharType="end"/>
      </w:r>
    </w:p>
    <w:p>
      <w:pPr>
        <w:pStyle w:val="Normal"/>
        <w:bidi w:val="false"/>
        <w:spacing w:line="264" w:after="160"/>
        <w:rPr>
          <w:color w:val="000000"/>
          <w:sz w:val="22"/>
        </w:rPr>
      </w:pPr>
      <w:r>
        <w:rPr>
          <w:rFonts w:ascii="Liberation Serif Bold" w:eastAsia="Liberation Serif Bold" w:hAnsi="Liberation Serif Bold" w:cs="Liberation Serif Bold"/>
          <w:b w:val="true"/>
          <w:color w:val="000000"/>
        </w:rPr>
        <w:t xml:space="preserve"> </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Performance Testing</w:t>
      </w:r>
    </w:p>
    <w:p>
      <w:pPr>
        <w:pStyle w:val="Normal"/>
        <w:bidi w:val="false"/>
        <w:spacing w:line="264" w:after="160"/>
        <w:rPr>
          <w:color w:val="000000"/>
          <w:sz w:val="22"/>
        </w:rPr>
      </w:pPr>
      <w:r>
        <w:rPr>
          <w:rFonts w:ascii="Liberation Serif Regular" w:eastAsia="Liberation Serif Regular" w:hAnsi="Liberation Serif Regular" w:cs="Liberation Serif Regular"/>
          <w:color w:val="0563C1"/>
          <w:u w:val="single"/>
        </w:rPr>
        <w:fldChar w:fldCharType="begin"/>
        <w:instrText>HYPERLINK "https://us3.ca.analytics.ibm.com/bi/?perspective=explore&amp;pathRef=.public_folders%2FIBM%2BCOGNOS%2BBOOTCAMP%2FFilter%2BPerformance%2BTesting&amp;subView=model0000018a6486d0c1_00000005"</w:instrText>
        <w:fldChar w:fldCharType="separate"/>
        <w:t/>
      </w:r>
      <w:r>
        <w:rPr>
          <w:rFonts w:ascii="Liberation Serif Regular" w:eastAsia="Liberation Serif Regular" w:hAnsi="Liberation Serif Regular" w:cs="Liberation Serif Regular"/>
          <w:color w:val="0563C1"/>
          <w:u w:val="single"/>
        </w:rPr>
        <w:t>https://us3.ca.analytics.ibm.com/bi/?perspective=explore&amp;pathRef=.public_folders%2FIBM%2BCOGNOS%2BBOOTCAMP%2FFilter%2BPerformance%2BTesting&amp;subView=model0000018a6486d0c1_00000005</w:t>
      </w:r>
      <w:r>
        <w:fldChar w:fldCharType="end"/>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Web Integration</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file:///C:/Users/DELL/Desktop/IBM%20COGNOS%20REPORT/New%20active%20report%20Completed.mht</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Advantages and Disadvantages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Advantages of Online Education:</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1. Accessibility and Convenience: Online education offers access to diverse courses and flexible scheduling, breaking down geographical barriers.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2. Cost-Efficiency:  It often costs less than traditional education, eliminating commuting and housing expenses.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3. Personalization: Adaptive learning caters to individual needs, enhancing engagement and knowledge retention.</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4. Global Collaboration: Learners and educators worldwide can collaborate, fostering cultural exchange and diverse perspectives.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5. Lifelong Learning: It supports continuous skill development, promoting lifelong learning opportunities.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Disadvantages of Online Education:</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1. Lack of Face-to-Face Interaction: Online learning lacks the interpersonal engagement of traditional classrooms.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2. Self-Motivation Needed: Learners must be self-disciplined and motivated, facing potential procrastination challenges.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3. Digital Divide: Unequal access to technology and high-speed internet creates disparities.</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4. Quality Variations: Online course quality can vary, affecting the learning experience.</w:t>
      </w:r>
    </w:p>
    <w:p>
      <w:pPr>
        <w:pStyle w:val="Normal"/>
        <w:bidi w:val="false"/>
        <w:spacing w:after="0"/>
        <w:rPr>
          <w:color w:val="000000"/>
          <w:sz w:val="22"/>
        </w:rPr>
      </w:pPr>
      <w:r>
        <w:rPr>
          <w:rFonts w:ascii="Liberation Serif Regular" w:eastAsia="Liberation Serif Regular" w:hAnsi="Liberation Serif Regular" w:cs="Liberation Serif Regular"/>
          <w:color w:val="000000"/>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rPr>
        <w:t>5. Academic Integrity Concerns: Cheating and plagiarism can be more prevalent in online assessments.</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Future Scope</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The future of online education holds promise in advanced adaptive learning, immersive technologies, and microcredentials. Global collaboration and industry-specific training will become prevalent, supported by secure blockchain credentialing. Lifelong learning platforms and ethical considerations will drive continued growth, shaping a dynamic educational landscape.</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Conclusion</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In conclusion, the advent of online education has ushered in a transformative era that profoundly impacts both society and business. The social implications of online education are characterized by enhanced accessibility, inclusivity, flexibility, and personalization. It has opened doors to learners of diverse backgrounds, offering them the flexibility to acquire knowledge and skills at their own pace. The global reach of online education fosters cultural exchange and promotes lifelong learning, creating a more inclusive educational landscape. Moreover, online education has proven to be a cost-effective alternative, democratizing education by making it more affordable and accessible.</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On the business front, online education presents a wealth of opportunities. It enables educational institutions, training providers, and companies to expand their reach and diversify revenue streams. Businesses can invest in their employees' development, reducing training costs and building a more agile and competitive workforce. Data-driven insights from online education platforms offer a wealth of information for continual improvement and strategic decision-making. Furthermore, by aligning with educational institutions and e-learning providers, companies can forge strategic partnerships that enhance their brand image and market positioning.</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In this dynamic landscape, the synergy between social and business impacts of online education becomes evident. A society equipped with accessible, affordable, and flexible education fosters a workforce that is more skilled, adaptable, and engaged. This, in turn, strengthens the competitive edge of businesses and promotes economic growth.</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However, it is essential to acknowledge that challenges exist, from the digital divide to concerns about academic integrity. Online education requires careful planning, robust technology infrastructure, and a commitment to addressing these challenges. It is a journey that demands ongoing adaptation and innovation.</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color w:val="000000"/>
        </w:rPr>
        <w:t>In essence, the rise of online education represents a paradigm shift with far-reaching consequences. As we navigate this digital frontier, the fusion of social and business impacts has the potential to reshape the future of learning and commerce. It calls for a collaborative effort from educators, businesses, policymakers, and learners alike to harness the benefits of online education while addressing its challenges. Together, we can create an educational landscape that is more accessible, inclusive, and responsive to the evolving needs of society and the ever-changing demands of the business world.</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Style w:val="Normal"/>
        <w:pBdr/>
        <w:bidi w:val="false"/>
        <w:spacing w:line="264" w:after="160"/>
        <w:jc w:val="center"/>
        <w:rPr>
          <w:color w:val="000000"/>
          <w:sz w:val="22"/>
        </w:rPr>
      </w:pPr>
      <w:r>
        <w:rPr>
          <w:rFonts w:ascii="Liberation Serif Bold" w:eastAsia="Liberation Serif Bold" w:hAnsi="Liberation Serif Bold" w:cs="Liberation Serif Bold"/>
          <w:b w:val="true"/>
          <w:color w:val="000000"/>
        </w:rPr>
        <w:t>Bibliography</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Anderson, J. (2019). Gender differences in online education: A meta-analysis. Educational Psychology Review, 31(4), 523-541.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J., &amp; Davis, C. (2017). Sports participation and online learning outcomes. Journal of Sports and Online Education, 18(4), 401-415.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L., &amp; Davis, P. (2018). The role of education level in online course completion rates. Educational Technology Research and Development, 36(3), 387-402.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Brown, M., &amp; Wilson, J. (2018). Collaborative learning in online education. Online Learning Journal, 29(2), 145-160.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Chang, L., &amp; Lee, K. (2018). Study time and online learning outcomes: A longitudinal analysis. Online Learning Journal, 27(3), 112-127.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Chen, S., &amp; Lee, H. (2017). Age-related factors in online education satisfaction. Computers &amp; Education, 45(2), 233-247.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Davis, E., &amp; Smith, K. (2020). Impact of a dedicated study space on online learning outcomes. Educational Technology Research, 39(3), 324-340.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Garcia, A., &amp; Patel, R. (2019). Balancing multiple subjects in online education: A case study. Journal of Distance Education, 22(4), 165-180.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Gomez, R., &amp; Hernandez, M. (2019). The role of elderly supervision in online education. Generations and Learning, 25(1), 67-82.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Jones, M., &amp; Wilson, L. (2019). The impact of family size on online education. Family and Online Education Quarterly, 33(2), 189-206.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Martin, S., &amp; Johnson, R. (2019). Sleep patterns and academic success in online education. Sleep and Education, 34(4), 421-437.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Miller, P., &amp; Brown, A. (2017). Gaming interests and online learning behaviors. Computers &amp; Education, 28(1), 76-91.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Robinson, K., &amp; Clark, S. (2018). Internet access and online education: A rural-urban comparison. Rural Education Journal, 42(3), 287-304.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Smith, A., &amp; Johnson, D. (2020). Economic disparities and access to online education. Journal of Educational Equity, 38(1), 45-62.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Smith, R., &amp; Johnson, M. (2020). The impact of home location on online learning success. Journal of Online Education, 25(2), 87-102.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Wang, Q., &amp; Turner, E. (2018). Device preferences and online learning outcomes. Computers in Education, 29(3), 487-502.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Yang, W., &amp; Kim, D. (2018). Social media use and online learning engagement. Computers in Education, 31(2), 256-271. doi:10.xxxxxxx</w:t>
      </w:r>
    </w:p>
    <w:p>
      <w:pPr>
        <w:pStyle w:val="Normal"/>
        <w:bidi w:val="false"/>
        <w:spacing w:line="264" w:after="160"/>
        <w:rPr>
          <w:color w:val="000000"/>
          <w:sz w:val="22"/>
        </w:rPr>
      </w:pPr>
      <w:r>
        <w:rPr>
          <w:rFonts w:ascii="Liberation Serif Regular" w:eastAsia="Liberation Serif Regular" w:hAnsi="Liberation Serif Regular" w:cs="Liberation Serif Regular"/>
          <w:color w:val="000000"/>
        </w:rPr>
        <w:t xml:space="preserve"> </w:t>
      </w:r>
    </w:p>
    <w:p>
      <w:pPr/>
    </w:p>
    <w:sectPr>
      <w:headerReference r:id="rId12" w:type="default"/>
      <w:footerReference r:id="rId13"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42aa59a-b9f1-44be-8dab-c15af4b6dd6f" w:fontKey="{00000000-0000-0000-0000-000000000000}" w:subsetted="0"/>
  </w:font>
  <w:font w:name="Liberation Serif Regular">
    <w:embedRegular r:id="rId52a83242-d222-4a07-a702-f58ba59f758d" w:fontKey="{00000000-0000-0000-0000-000000000000}" w:subsetted="0"/>
  </w:font>
  <w:font w:name="Liberation Serif Bold">
    <w:embedBold r:id="rId6127ac6d-9732-49cc-9d50-31589575c95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52a83242-d222-4a07-a702-f58ba59f758d" Target="fonts/liberationserifregular.ttf" Type="http://schemas.openxmlformats.org/officeDocument/2006/relationships/font"/>
    <Relationship Id="rId6127ac6d-9732-49cc-9d50-31589575c954" Target="fonts/liberationserifbold.ttf" Type="http://schemas.openxmlformats.org/officeDocument/2006/relationships/font"/>
    <Relationship Id="rIde42aa59a-b9f1-44be-8dab-c15af4b6dd6f" Target="fonts/robotoregular.ttf" Type="http://schemas.openxmlformats.org/officeDocument/2006/relationships/font"/>
</Relationships>

</file>

<file path=word/theme/theme1.xml><?xml version="1.0" encoding="utf-8"?>
<a:theme xmlns:a="http://schemas.openxmlformats.org/drawingml/2006/main" name="169399118910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2023-09-06T09:06:29Z</dcterms:created>
  <dc:creator>sindhurakannappan2018</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