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7196" w14:textId="77777777" w:rsidR="007F6A70" w:rsidRPr="007F6A70" w:rsidRDefault="007F6A70" w:rsidP="007F6A70">
      <w:pPr>
        <w:widowControl/>
        <w:ind w:left="595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6A70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Project Design Phase-II </w:t>
      </w:r>
    </w:p>
    <w:p w14:paraId="59A96FDE" w14:textId="77777777" w:rsidR="007F6A70" w:rsidRPr="007F6A70" w:rsidRDefault="007F6A70" w:rsidP="007F6A70">
      <w:pPr>
        <w:widowControl/>
        <w:spacing w:before="18"/>
        <w:ind w:left="535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6A70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Data Flow Diagram &amp; User Stories </w:t>
      </w:r>
    </w:p>
    <w:tbl>
      <w:tblPr>
        <w:tblW w:w="7999" w:type="dxa"/>
        <w:tblInd w:w="33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5986"/>
      </w:tblGrid>
      <w:tr w:rsidR="007F6A70" w:rsidRPr="007F6A70" w14:paraId="0DB0BB7E" w14:textId="77777777" w:rsidTr="007F6A70">
        <w:trPr>
          <w:trHeight w:val="2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57289" w14:textId="77777777" w:rsidR="007F6A70" w:rsidRPr="007F6A70" w:rsidRDefault="007F6A70" w:rsidP="007F6A70">
            <w:pPr>
              <w:widowControl/>
              <w:ind w:left="13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6A70">
              <w:rPr>
                <w:rFonts w:ascii="Arial" w:eastAsia="Times New Roman" w:hAnsi="Arial" w:cs="Arial"/>
                <w:color w:val="000000"/>
                <w:lang w:val="en-IN" w:eastAsia="en-IN"/>
              </w:rPr>
              <w:t>Date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7D846" w14:textId="77777777" w:rsidR="007F6A70" w:rsidRPr="007F6A70" w:rsidRDefault="007F6A70" w:rsidP="007F6A70">
            <w:pPr>
              <w:widowControl/>
              <w:ind w:left="12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6A70">
              <w:rPr>
                <w:rFonts w:ascii="Arial" w:eastAsia="Times New Roman" w:hAnsi="Arial" w:cs="Arial"/>
                <w:color w:val="000000"/>
                <w:lang w:val="en-IN" w:eastAsia="en-IN"/>
              </w:rPr>
              <w:t>22 October 2023</w:t>
            </w:r>
          </w:p>
        </w:tc>
      </w:tr>
      <w:tr w:rsidR="007F6A70" w:rsidRPr="007F6A70" w14:paraId="67BB7A6A" w14:textId="77777777" w:rsidTr="007F6A70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57DE1" w14:textId="77777777" w:rsidR="007F6A70" w:rsidRPr="007F6A70" w:rsidRDefault="007F6A70" w:rsidP="007F6A70">
            <w:pPr>
              <w:widowControl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6A70">
              <w:rPr>
                <w:rFonts w:ascii="Arial" w:eastAsia="Times New Roman" w:hAnsi="Arial" w:cs="Arial"/>
                <w:color w:val="000000"/>
                <w:lang w:val="en-IN" w:eastAsia="en-IN"/>
              </w:rPr>
              <w:t>Team 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B07EA" w14:textId="07A2369C" w:rsidR="007F6A70" w:rsidRPr="007F6A70" w:rsidRDefault="007F6A70" w:rsidP="007F6A7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591236</w:t>
            </w:r>
          </w:p>
        </w:tc>
      </w:tr>
      <w:tr w:rsidR="007F6A70" w:rsidRPr="007F6A70" w14:paraId="67F22D34" w14:textId="77777777" w:rsidTr="007F6A70">
        <w:trPr>
          <w:trHeight w:val="2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42F9E" w14:textId="77777777" w:rsidR="007F6A70" w:rsidRPr="007F6A70" w:rsidRDefault="007F6A70" w:rsidP="007F6A70">
            <w:pPr>
              <w:widowControl/>
              <w:ind w:left="132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6A70">
              <w:rPr>
                <w:rFonts w:ascii="Arial" w:eastAsia="Times New Roman" w:hAnsi="Arial" w:cs="Arial"/>
                <w:color w:val="000000"/>
                <w:lang w:val="en-IN" w:eastAsia="en-IN"/>
              </w:rPr>
              <w:t>Project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38496" w14:textId="77777777" w:rsidR="007F6A70" w:rsidRPr="007F6A70" w:rsidRDefault="007F6A70" w:rsidP="007F6A70">
            <w:pPr>
              <w:widowControl/>
              <w:ind w:left="134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6A70">
              <w:rPr>
                <w:rFonts w:ascii="Arial" w:eastAsia="Times New Roman" w:hAnsi="Arial" w:cs="Arial"/>
                <w:color w:val="35475C"/>
                <w:sz w:val="23"/>
                <w:szCs w:val="23"/>
                <w:shd w:val="clear" w:color="auto" w:fill="FFFFFF"/>
                <w:lang w:val="en-IN" w:eastAsia="en-IN"/>
              </w:rPr>
              <w:t>Chinese Debt Trap: Insights on money lending patterns</w:t>
            </w:r>
          </w:p>
        </w:tc>
      </w:tr>
      <w:tr w:rsidR="007F6A70" w:rsidRPr="007F6A70" w14:paraId="1690A3DD" w14:textId="77777777" w:rsidTr="007F6A70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D255E" w14:textId="77777777" w:rsidR="007F6A70" w:rsidRPr="007F6A70" w:rsidRDefault="007F6A70" w:rsidP="007F6A70">
            <w:pPr>
              <w:widowControl/>
              <w:ind w:left="129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6A70">
              <w:rPr>
                <w:rFonts w:ascii="Arial" w:eastAsia="Times New Roman" w:hAnsi="Arial" w:cs="Arial"/>
                <w:color w:val="000000"/>
                <w:lang w:val="en-IN" w:eastAsia="en-IN"/>
              </w:rPr>
              <w:t>Maximum Marks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F5C32" w14:textId="77777777" w:rsidR="007F6A70" w:rsidRPr="007F6A70" w:rsidRDefault="007F6A70" w:rsidP="007F6A70">
            <w:pPr>
              <w:widowControl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F6A70">
              <w:rPr>
                <w:rFonts w:ascii="Arial" w:eastAsia="Times New Roman" w:hAnsi="Arial" w:cs="Arial"/>
                <w:color w:val="000000"/>
                <w:lang w:val="en-IN" w:eastAsia="en-IN"/>
              </w:rPr>
              <w:t>10 Marks</w:t>
            </w:r>
          </w:p>
        </w:tc>
      </w:tr>
    </w:tbl>
    <w:p w14:paraId="3357416E" w14:textId="77777777" w:rsidR="0065255C" w:rsidRDefault="0065255C" w:rsidP="007F6A7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0112FFA" w14:textId="77777777" w:rsidR="007F6A70" w:rsidRDefault="007F6A70" w:rsidP="007F6A70">
      <w:pPr>
        <w:pStyle w:val="NormalWeb"/>
        <w:spacing w:before="0" w:beforeAutospacing="0" w:after="0" w:afterAutospacing="0"/>
        <w:ind w:left="17"/>
      </w:pPr>
      <w:r>
        <w:rPr>
          <w:rFonts w:ascii="Arial" w:hAnsi="Arial" w:cs="Arial"/>
          <w:b/>
          <w:bCs/>
          <w:color w:val="000000"/>
          <w:sz w:val="22"/>
          <w:szCs w:val="22"/>
        </w:rPr>
        <w:t>Data Flow Diagrams: </w:t>
      </w:r>
    </w:p>
    <w:p w14:paraId="6E6A5CEA" w14:textId="77777777" w:rsidR="007F6A70" w:rsidRDefault="007F6A70" w:rsidP="007F6A70">
      <w:pPr>
        <w:pStyle w:val="NormalWeb"/>
        <w:spacing w:before="177" w:beforeAutospacing="0" w:after="0" w:afterAutospacing="0"/>
        <w:ind w:left="3" w:right="345" w:hanging="4"/>
      </w:pPr>
      <w:r>
        <w:rPr>
          <w:rFonts w:ascii="Arial" w:hAnsi="Arial" w:cs="Arial"/>
          <w:color w:val="000000"/>
          <w:sz w:val="22"/>
          <w:szCs w:val="22"/>
        </w:rPr>
        <w:t xml:space="preserve">A Data Flow Diagram (DFD) is a traditional visual representation of the information flows within a system. A neat and clear DFD can depict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right  amount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of the system requirement graphically. It shows how data enters and leaves the system, what changes the information, and where data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  stored</w:t>
      </w:r>
      <w:proofErr w:type="gram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3575E0E5" w14:textId="77777777" w:rsidR="0065255C" w:rsidRDefault="0065255C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14:paraId="605CFF00" w14:textId="690D3902" w:rsidR="007F6A70" w:rsidRDefault="007F6A70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noProof/>
          <w:sz w:val="29"/>
          <w:szCs w:val="29"/>
        </w:rPr>
        <w:drawing>
          <wp:inline distT="0" distB="0" distL="0" distR="0" wp14:anchorId="3B50F56B" wp14:editId="57112561">
            <wp:extent cx="9931400" cy="3178175"/>
            <wp:effectExtent l="0" t="0" r="0" b="3175"/>
            <wp:docPr id="111169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93382" name="Picture 11116933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14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0A01" w14:textId="77777777" w:rsidR="007F6A70" w:rsidRDefault="007F6A70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14:paraId="7955341E" w14:textId="77777777" w:rsidR="007F6A70" w:rsidRDefault="007F6A70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14:paraId="0141E62E" w14:textId="77777777" w:rsidR="007F6A70" w:rsidRDefault="007F6A70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14:paraId="147C5193" w14:textId="77777777" w:rsidR="007F6A70" w:rsidRDefault="007F6A70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14:paraId="73341018" w14:textId="77777777" w:rsidR="007F6A70" w:rsidRDefault="007F6A70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14:paraId="5A926A3A" w14:textId="77777777" w:rsidR="007F6A70" w:rsidRDefault="007F6A70" w:rsidP="007F6A70">
      <w:pPr>
        <w:pStyle w:val="BodyText"/>
      </w:pPr>
      <w:r>
        <w:rPr>
          <w:color w:val="443B4F"/>
          <w:w w:val="125"/>
        </w:rPr>
        <w:lastRenderedPageBreak/>
        <w:t>User</w:t>
      </w:r>
      <w:r>
        <w:rPr>
          <w:color w:val="443B4F"/>
          <w:spacing w:val="-30"/>
          <w:w w:val="125"/>
        </w:rPr>
        <w:t xml:space="preserve"> </w:t>
      </w:r>
      <w:r>
        <w:rPr>
          <w:color w:val="443B4F"/>
          <w:w w:val="125"/>
        </w:rPr>
        <w:t>Stories</w:t>
      </w:r>
    </w:p>
    <w:p w14:paraId="17E7ACF7" w14:textId="77777777" w:rsidR="0065255C" w:rsidRDefault="0065255C">
      <w:pPr>
        <w:spacing w:before="2"/>
        <w:rPr>
          <w:rFonts w:ascii="Arial" w:eastAsia="Arial" w:hAnsi="Arial" w:cs="Arial"/>
          <w:sz w:val="29"/>
          <w:szCs w:val="29"/>
        </w:rPr>
      </w:pPr>
    </w:p>
    <w:p w14:paraId="494AEDD2" w14:textId="77777777" w:rsidR="007F6A70" w:rsidRDefault="007F6A70">
      <w:pPr>
        <w:spacing w:before="2"/>
        <w:rPr>
          <w:rFonts w:ascii="Arial" w:eastAsia="Arial" w:hAnsi="Arial" w:cs="Arial"/>
          <w:sz w:val="29"/>
          <w:szCs w:val="29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2154"/>
        <w:gridCol w:w="1107"/>
        <w:gridCol w:w="4961"/>
        <w:gridCol w:w="3118"/>
        <w:gridCol w:w="993"/>
        <w:gridCol w:w="906"/>
      </w:tblGrid>
      <w:tr w:rsidR="007D4FD4" w14:paraId="5E3377CF" w14:textId="77777777" w:rsidTr="00E5087A">
        <w:trPr>
          <w:trHeight w:val="759"/>
        </w:trPr>
        <w:tc>
          <w:tcPr>
            <w:tcW w:w="2126" w:type="dxa"/>
          </w:tcPr>
          <w:p w14:paraId="7F1597F7" w14:textId="6170EFAD" w:rsidR="007D4FD4" w:rsidRDefault="007D4FD4" w:rsidP="007D4FD4">
            <w:pPr>
              <w:jc w:val="center"/>
            </w:pPr>
            <w:r>
              <w:t>User Type</w:t>
            </w:r>
          </w:p>
        </w:tc>
        <w:tc>
          <w:tcPr>
            <w:tcW w:w="2154" w:type="dxa"/>
          </w:tcPr>
          <w:p w14:paraId="31101A40" w14:textId="77777777" w:rsidR="007D4FD4" w:rsidRDefault="007D4FD4">
            <w:r>
              <w:t xml:space="preserve">Functional </w:t>
            </w:r>
          </w:p>
          <w:p w14:paraId="7A73E35A" w14:textId="35CE5831" w:rsidR="007D4FD4" w:rsidRDefault="007D4FD4">
            <w:r>
              <w:t>Requirements (Epic)</w:t>
            </w:r>
          </w:p>
        </w:tc>
        <w:tc>
          <w:tcPr>
            <w:tcW w:w="1107" w:type="dxa"/>
          </w:tcPr>
          <w:p w14:paraId="4AE5E104" w14:textId="230AFFBD" w:rsidR="007D4FD4" w:rsidRDefault="007D4FD4">
            <w:r>
              <w:t>User Story</w:t>
            </w:r>
          </w:p>
        </w:tc>
        <w:tc>
          <w:tcPr>
            <w:tcW w:w="4961" w:type="dxa"/>
          </w:tcPr>
          <w:p w14:paraId="6FF630E4" w14:textId="52F78265" w:rsidR="007D4FD4" w:rsidRDefault="007D4FD4">
            <w:r>
              <w:t>User Story/Task</w:t>
            </w:r>
          </w:p>
        </w:tc>
        <w:tc>
          <w:tcPr>
            <w:tcW w:w="3118" w:type="dxa"/>
          </w:tcPr>
          <w:p w14:paraId="52BE7DE2" w14:textId="16407D75" w:rsidR="007D4FD4" w:rsidRDefault="007D4FD4">
            <w:r>
              <w:t xml:space="preserve">Acceptance Criteria </w:t>
            </w:r>
          </w:p>
        </w:tc>
        <w:tc>
          <w:tcPr>
            <w:tcW w:w="993" w:type="dxa"/>
          </w:tcPr>
          <w:p w14:paraId="70F02608" w14:textId="3C81F6BB" w:rsidR="007D4FD4" w:rsidRDefault="007D4FD4">
            <w:r>
              <w:t>Priority</w:t>
            </w:r>
          </w:p>
        </w:tc>
        <w:tc>
          <w:tcPr>
            <w:tcW w:w="906" w:type="dxa"/>
          </w:tcPr>
          <w:p w14:paraId="47F0066E" w14:textId="0E2EB6BE" w:rsidR="007D4FD4" w:rsidRDefault="007D4FD4">
            <w:r>
              <w:t>Release</w:t>
            </w:r>
          </w:p>
        </w:tc>
      </w:tr>
      <w:tr w:rsidR="007D4FD4" w14:paraId="5741439A" w14:textId="77777777" w:rsidTr="00E5087A">
        <w:tc>
          <w:tcPr>
            <w:tcW w:w="2126" w:type="dxa"/>
          </w:tcPr>
          <w:p w14:paraId="778835D5" w14:textId="2E6CC05F" w:rsidR="007D4FD4" w:rsidRDefault="00E5087A">
            <w:r>
              <w:t>Borrowing Country</w:t>
            </w:r>
          </w:p>
        </w:tc>
        <w:tc>
          <w:tcPr>
            <w:tcW w:w="2154" w:type="dxa"/>
          </w:tcPr>
          <w:p w14:paraId="3F863353" w14:textId="61993D39" w:rsidR="007D4FD4" w:rsidRDefault="00E5087A">
            <w:r>
              <w:t>Data collection and analysis</w:t>
            </w:r>
          </w:p>
        </w:tc>
        <w:tc>
          <w:tcPr>
            <w:tcW w:w="1107" w:type="dxa"/>
          </w:tcPr>
          <w:p w14:paraId="1A6BD63D" w14:textId="42EA9515" w:rsidR="007D4FD4" w:rsidRDefault="00E5087A">
            <w:r>
              <w:t>1</w:t>
            </w:r>
          </w:p>
        </w:tc>
        <w:tc>
          <w:tcPr>
            <w:tcW w:w="4961" w:type="dxa"/>
          </w:tcPr>
          <w:p w14:paraId="3606A8E5" w14:textId="33955AFC" w:rsidR="007D4FD4" w:rsidRDefault="00E5087A">
            <w:r>
              <w:t>As a citizen of Borrowing Country, want to ensure transparent data collection and analysis of loan terms and financial impacts to make good and mindful decisions.</w:t>
            </w:r>
          </w:p>
        </w:tc>
        <w:tc>
          <w:tcPr>
            <w:tcW w:w="3118" w:type="dxa"/>
          </w:tcPr>
          <w:p w14:paraId="4E556215" w14:textId="77777777" w:rsidR="007D4FD4" w:rsidRDefault="00E5087A">
            <w:r>
              <w:t>Provide historical data on financial impacts of previous Loans</w:t>
            </w:r>
          </w:p>
          <w:p w14:paraId="767775EC" w14:textId="77777777" w:rsidR="00E5087A" w:rsidRDefault="00E5087A"/>
          <w:p w14:paraId="388A1EA7" w14:textId="13B65A8D" w:rsidR="00E5087A" w:rsidRDefault="00E5087A">
            <w:r>
              <w:t>System generates reports with data insights and trends for decision makers</w:t>
            </w:r>
          </w:p>
        </w:tc>
        <w:tc>
          <w:tcPr>
            <w:tcW w:w="993" w:type="dxa"/>
          </w:tcPr>
          <w:p w14:paraId="25C6AEC2" w14:textId="599361F6" w:rsidR="007D4FD4" w:rsidRDefault="00E5087A">
            <w:r>
              <w:t xml:space="preserve">High </w:t>
            </w:r>
          </w:p>
        </w:tc>
        <w:tc>
          <w:tcPr>
            <w:tcW w:w="906" w:type="dxa"/>
          </w:tcPr>
          <w:p w14:paraId="522B03E5" w14:textId="0622097D" w:rsidR="007D4FD4" w:rsidRDefault="00E5087A">
            <w:r>
              <w:t>1</w:t>
            </w:r>
          </w:p>
        </w:tc>
      </w:tr>
      <w:tr w:rsidR="00E5087A" w14:paraId="3B554408" w14:textId="77777777" w:rsidTr="00E5087A">
        <w:tc>
          <w:tcPr>
            <w:tcW w:w="2126" w:type="dxa"/>
          </w:tcPr>
          <w:p w14:paraId="47EE0058" w14:textId="77777777" w:rsidR="00E5087A" w:rsidRDefault="00E5087A"/>
        </w:tc>
        <w:tc>
          <w:tcPr>
            <w:tcW w:w="2154" w:type="dxa"/>
          </w:tcPr>
          <w:p w14:paraId="108FF894" w14:textId="77777777" w:rsidR="00E5087A" w:rsidRDefault="00E5087A"/>
        </w:tc>
        <w:tc>
          <w:tcPr>
            <w:tcW w:w="1107" w:type="dxa"/>
          </w:tcPr>
          <w:p w14:paraId="7E3FF99D" w14:textId="54B3AF04" w:rsidR="00E5087A" w:rsidRDefault="006B3AF0">
            <w:r>
              <w:t>2</w:t>
            </w:r>
          </w:p>
        </w:tc>
        <w:tc>
          <w:tcPr>
            <w:tcW w:w="4961" w:type="dxa"/>
          </w:tcPr>
          <w:p w14:paraId="7757F08C" w14:textId="433A205B" w:rsidR="00E5087A" w:rsidRDefault="006B3AF0">
            <w:r>
              <w:t xml:space="preserve">Access to historical data on financial impacts of loans to identify trends and area of improvement </w:t>
            </w:r>
          </w:p>
        </w:tc>
        <w:tc>
          <w:tcPr>
            <w:tcW w:w="3118" w:type="dxa"/>
          </w:tcPr>
          <w:p w14:paraId="1BEC4F87" w14:textId="77777777" w:rsidR="00E5087A" w:rsidRDefault="006B3AF0">
            <w:r>
              <w:t>Data is presented using simple format for easy understanding</w:t>
            </w:r>
          </w:p>
          <w:p w14:paraId="337B7781" w14:textId="77777777" w:rsidR="006B3AF0" w:rsidRDefault="006B3AF0"/>
          <w:p w14:paraId="03B41616" w14:textId="3FFC5CA3" w:rsidR="006B3AF0" w:rsidRDefault="006B3AF0">
            <w:r>
              <w:t>Develop strategies for intelligent borrowing</w:t>
            </w:r>
          </w:p>
        </w:tc>
        <w:tc>
          <w:tcPr>
            <w:tcW w:w="993" w:type="dxa"/>
          </w:tcPr>
          <w:p w14:paraId="2EBFFAC6" w14:textId="272B5051" w:rsidR="00E5087A" w:rsidRDefault="006B3AF0">
            <w:r>
              <w:t xml:space="preserve">Medium </w:t>
            </w:r>
          </w:p>
        </w:tc>
        <w:tc>
          <w:tcPr>
            <w:tcW w:w="906" w:type="dxa"/>
          </w:tcPr>
          <w:p w14:paraId="16043AED" w14:textId="06B04EF3" w:rsidR="00E5087A" w:rsidRDefault="006B3AF0">
            <w:r>
              <w:t>1</w:t>
            </w:r>
          </w:p>
        </w:tc>
      </w:tr>
      <w:tr w:rsidR="006B3AF0" w14:paraId="1C7BF4B8" w14:textId="77777777" w:rsidTr="00E5087A">
        <w:tc>
          <w:tcPr>
            <w:tcW w:w="2126" w:type="dxa"/>
          </w:tcPr>
          <w:p w14:paraId="65EEC27B" w14:textId="4A68395C" w:rsidR="006B3AF0" w:rsidRDefault="006B3AF0">
            <w:r>
              <w:t>International Community</w:t>
            </w:r>
          </w:p>
        </w:tc>
        <w:tc>
          <w:tcPr>
            <w:tcW w:w="2154" w:type="dxa"/>
          </w:tcPr>
          <w:p w14:paraId="13A7E811" w14:textId="06BEE2A9" w:rsidR="006B3AF0" w:rsidRDefault="006B3AF0">
            <w:r>
              <w:t>International Cooperation</w:t>
            </w:r>
          </w:p>
        </w:tc>
        <w:tc>
          <w:tcPr>
            <w:tcW w:w="1107" w:type="dxa"/>
          </w:tcPr>
          <w:p w14:paraId="2B7E7F90" w14:textId="75179441" w:rsidR="006B3AF0" w:rsidRDefault="00B753CF">
            <w:r>
              <w:t>3</w:t>
            </w:r>
          </w:p>
        </w:tc>
        <w:tc>
          <w:tcPr>
            <w:tcW w:w="4961" w:type="dxa"/>
          </w:tcPr>
          <w:p w14:paraId="2EF0714F" w14:textId="2FF65D67" w:rsidR="006B3AF0" w:rsidRDefault="00B753CF">
            <w:r>
              <w:t>Facilitate cooperation and peace to establish responsible lending standards</w:t>
            </w:r>
          </w:p>
        </w:tc>
        <w:tc>
          <w:tcPr>
            <w:tcW w:w="3118" w:type="dxa"/>
          </w:tcPr>
          <w:p w14:paraId="5937ADCD" w14:textId="6E2B96F9" w:rsidR="006B3AF0" w:rsidRDefault="00B753CF">
            <w:r>
              <w:t>Enable communication and negotiation between countries to form multilateral agreements</w:t>
            </w:r>
          </w:p>
        </w:tc>
        <w:tc>
          <w:tcPr>
            <w:tcW w:w="993" w:type="dxa"/>
          </w:tcPr>
          <w:p w14:paraId="481383F7" w14:textId="5E5BCF58" w:rsidR="006B3AF0" w:rsidRDefault="00B753CF">
            <w:r>
              <w:t xml:space="preserve">High </w:t>
            </w:r>
          </w:p>
        </w:tc>
        <w:tc>
          <w:tcPr>
            <w:tcW w:w="906" w:type="dxa"/>
          </w:tcPr>
          <w:p w14:paraId="6975237C" w14:textId="77777777" w:rsidR="006B3AF0" w:rsidRDefault="00B753CF">
            <w:r>
              <w:t>2</w:t>
            </w:r>
          </w:p>
          <w:p w14:paraId="2FBA6330" w14:textId="6AFA92B8" w:rsidR="00B753CF" w:rsidRDefault="00B753CF"/>
        </w:tc>
      </w:tr>
      <w:tr w:rsidR="00B753CF" w14:paraId="6C679414" w14:textId="77777777" w:rsidTr="00E5087A">
        <w:tc>
          <w:tcPr>
            <w:tcW w:w="2126" w:type="dxa"/>
          </w:tcPr>
          <w:p w14:paraId="3C8466A5" w14:textId="77777777" w:rsidR="00B753CF" w:rsidRDefault="00B753CF"/>
        </w:tc>
        <w:tc>
          <w:tcPr>
            <w:tcW w:w="2154" w:type="dxa"/>
          </w:tcPr>
          <w:p w14:paraId="3E62A168" w14:textId="77777777" w:rsidR="00B753CF" w:rsidRDefault="00B753CF"/>
        </w:tc>
        <w:tc>
          <w:tcPr>
            <w:tcW w:w="1107" w:type="dxa"/>
          </w:tcPr>
          <w:p w14:paraId="68D6E7F9" w14:textId="5CA8AA11" w:rsidR="00B753CF" w:rsidRDefault="00B753CF">
            <w:r>
              <w:t>4</w:t>
            </w:r>
          </w:p>
        </w:tc>
        <w:tc>
          <w:tcPr>
            <w:tcW w:w="4961" w:type="dxa"/>
          </w:tcPr>
          <w:p w14:paraId="178E2974" w14:textId="22EFFCAF" w:rsidR="00B753CF" w:rsidRDefault="00B753CF">
            <w:r>
              <w:t>Access to data and insights on lending practices in different regions for purpose of policy recommendation</w:t>
            </w:r>
          </w:p>
        </w:tc>
        <w:tc>
          <w:tcPr>
            <w:tcW w:w="3118" w:type="dxa"/>
          </w:tcPr>
          <w:p w14:paraId="43D9137E" w14:textId="513730D2" w:rsidR="00B753CF" w:rsidRDefault="008726BA">
            <w:r>
              <w:t>Access to global data on lending practices</w:t>
            </w:r>
          </w:p>
        </w:tc>
        <w:tc>
          <w:tcPr>
            <w:tcW w:w="993" w:type="dxa"/>
          </w:tcPr>
          <w:p w14:paraId="79CDA622" w14:textId="1C6AE0A0" w:rsidR="00B753CF" w:rsidRDefault="008726BA">
            <w:r>
              <w:t xml:space="preserve">Medium </w:t>
            </w:r>
          </w:p>
        </w:tc>
        <w:tc>
          <w:tcPr>
            <w:tcW w:w="906" w:type="dxa"/>
          </w:tcPr>
          <w:p w14:paraId="616B4CA1" w14:textId="4072EE9B" w:rsidR="00B753CF" w:rsidRDefault="008726BA">
            <w:r>
              <w:t>3</w:t>
            </w:r>
          </w:p>
        </w:tc>
      </w:tr>
      <w:tr w:rsidR="008726BA" w14:paraId="377A1889" w14:textId="77777777" w:rsidTr="00E5087A">
        <w:tc>
          <w:tcPr>
            <w:tcW w:w="2126" w:type="dxa"/>
          </w:tcPr>
          <w:p w14:paraId="7B7FD808" w14:textId="3F4B99FB" w:rsidR="008726BA" w:rsidRDefault="008726BA">
            <w:r>
              <w:t>Local Business</w:t>
            </w:r>
          </w:p>
        </w:tc>
        <w:tc>
          <w:tcPr>
            <w:tcW w:w="2154" w:type="dxa"/>
          </w:tcPr>
          <w:p w14:paraId="728FA9D5" w14:textId="117475FF" w:rsidR="008726BA" w:rsidRDefault="008726BA">
            <w:r>
              <w:t>Financial Stability</w:t>
            </w:r>
          </w:p>
        </w:tc>
        <w:tc>
          <w:tcPr>
            <w:tcW w:w="1107" w:type="dxa"/>
          </w:tcPr>
          <w:p w14:paraId="0C734532" w14:textId="08F2BF1B" w:rsidR="008726BA" w:rsidRDefault="008726BA">
            <w:r>
              <w:t>5</w:t>
            </w:r>
          </w:p>
        </w:tc>
        <w:tc>
          <w:tcPr>
            <w:tcW w:w="4961" w:type="dxa"/>
          </w:tcPr>
          <w:p w14:paraId="3D324989" w14:textId="391A86B6" w:rsidR="008726BA" w:rsidRDefault="008726BA">
            <w:r>
              <w:t>Access to financial Resources and investment opportunities for growth of business</w:t>
            </w:r>
          </w:p>
        </w:tc>
        <w:tc>
          <w:tcPr>
            <w:tcW w:w="3118" w:type="dxa"/>
          </w:tcPr>
          <w:p w14:paraId="4D3BD35A" w14:textId="7A48F734" w:rsidR="008726BA" w:rsidRDefault="008726BA">
            <w:r>
              <w:t>Allow local business to apply for loans</w:t>
            </w:r>
          </w:p>
        </w:tc>
        <w:tc>
          <w:tcPr>
            <w:tcW w:w="993" w:type="dxa"/>
          </w:tcPr>
          <w:p w14:paraId="0B280196" w14:textId="1692C3BF" w:rsidR="008726BA" w:rsidRDefault="008726BA">
            <w:r>
              <w:t xml:space="preserve">High </w:t>
            </w:r>
          </w:p>
        </w:tc>
        <w:tc>
          <w:tcPr>
            <w:tcW w:w="906" w:type="dxa"/>
          </w:tcPr>
          <w:p w14:paraId="18D17B76" w14:textId="62E7FB85" w:rsidR="008726BA" w:rsidRDefault="008726BA">
            <w:r>
              <w:t>2</w:t>
            </w:r>
          </w:p>
        </w:tc>
      </w:tr>
      <w:tr w:rsidR="008726BA" w14:paraId="3A749B8C" w14:textId="77777777" w:rsidTr="00E5087A">
        <w:tc>
          <w:tcPr>
            <w:tcW w:w="2126" w:type="dxa"/>
          </w:tcPr>
          <w:p w14:paraId="2E92BBEC" w14:textId="77777777" w:rsidR="008726BA" w:rsidRDefault="008726BA"/>
        </w:tc>
        <w:tc>
          <w:tcPr>
            <w:tcW w:w="2154" w:type="dxa"/>
          </w:tcPr>
          <w:p w14:paraId="4E40168A" w14:textId="77777777" w:rsidR="008726BA" w:rsidRDefault="008726BA"/>
        </w:tc>
        <w:tc>
          <w:tcPr>
            <w:tcW w:w="1107" w:type="dxa"/>
          </w:tcPr>
          <w:p w14:paraId="0BAD82C1" w14:textId="639A3012" w:rsidR="008726BA" w:rsidRDefault="008726BA">
            <w:r>
              <w:t>6</w:t>
            </w:r>
          </w:p>
        </w:tc>
        <w:tc>
          <w:tcPr>
            <w:tcW w:w="4961" w:type="dxa"/>
          </w:tcPr>
          <w:p w14:paraId="1A7DD8B1" w14:textId="65E4E5E1" w:rsidR="008726BA" w:rsidRDefault="008726BA">
            <w:r>
              <w:t>Diversify and support local businesses by investing in projects funded by loans</w:t>
            </w:r>
          </w:p>
        </w:tc>
        <w:tc>
          <w:tcPr>
            <w:tcW w:w="3118" w:type="dxa"/>
          </w:tcPr>
          <w:p w14:paraId="68EEC914" w14:textId="6C42BAE0" w:rsidR="008726BA" w:rsidRDefault="008726BA">
            <w:r>
              <w:t>Secure and transparent investment transactions</w:t>
            </w:r>
          </w:p>
        </w:tc>
        <w:tc>
          <w:tcPr>
            <w:tcW w:w="993" w:type="dxa"/>
          </w:tcPr>
          <w:p w14:paraId="2BA4E8BF" w14:textId="5FC5B46D" w:rsidR="008726BA" w:rsidRDefault="008726BA">
            <w:r>
              <w:t>Medium</w:t>
            </w:r>
          </w:p>
        </w:tc>
        <w:tc>
          <w:tcPr>
            <w:tcW w:w="906" w:type="dxa"/>
          </w:tcPr>
          <w:p w14:paraId="7D021F26" w14:textId="77777777" w:rsidR="008726BA" w:rsidRDefault="008726BA">
            <w:r>
              <w:t>4</w:t>
            </w:r>
          </w:p>
          <w:p w14:paraId="7081B11D" w14:textId="3EA7AB30" w:rsidR="008726BA" w:rsidRDefault="008726BA"/>
        </w:tc>
      </w:tr>
      <w:tr w:rsidR="008726BA" w14:paraId="2F112204" w14:textId="77777777" w:rsidTr="00E5087A">
        <w:tc>
          <w:tcPr>
            <w:tcW w:w="2126" w:type="dxa"/>
          </w:tcPr>
          <w:p w14:paraId="407C0AE0" w14:textId="27B2A31B" w:rsidR="008726BA" w:rsidRDefault="008726BA">
            <w:r>
              <w:t>Financial Markets</w:t>
            </w:r>
          </w:p>
        </w:tc>
        <w:tc>
          <w:tcPr>
            <w:tcW w:w="2154" w:type="dxa"/>
          </w:tcPr>
          <w:p w14:paraId="71BA1108" w14:textId="79CE1E0C" w:rsidR="008726BA" w:rsidRDefault="008726BA">
            <w:r>
              <w:t>Financial Stability</w:t>
            </w:r>
          </w:p>
        </w:tc>
        <w:tc>
          <w:tcPr>
            <w:tcW w:w="1107" w:type="dxa"/>
          </w:tcPr>
          <w:p w14:paraId="0A2C620F" w14:textId="7363B076" w:rsidR="008726BA" w:rsidRDefault="008726BA">
            <w:r>
              <w:t>7</w:t>
            </w:r>
          </w:p>
        </w:tc>
        <w:tc>
          <w:tcPr>
            <w:tcW w:w="4961" w:type="dxa"/>
          </w:tcPr>
          <w:p w14:paraId="63BAA08E" w14:textId="27A0A554" w:rsidR="008726BA" w:rsidRDefault="008726BA">
            <w:r>
              <w:t>Real-time economic data from borrowing Countries to make meaningful decisions</w:t>
            </w:r>
          </w:p>
        </w:tc>
        <w:tc>
          <w:tcPr>
            <w:tcW w:w="3118" w:type="dxa"/>
          </w:tcPr>
          <w:p w14:paraId="09AE4FE4" w14:textId="69D93CB6" w:rsidR="008726BA" w:rsidRDefault="008726BA">
            <w:r>
              <w:t>To evaluate investment opportunities</w:t>
            </w:r>
          </w:p>
        </w:tc>
        <w:tc>
          <w:tcPr>
            <w:tcW w:w="993" w:type="dxa"/>
          </w:tcPr>
          <w:p w14:paraId="7F3B8B4E" w14:textId="35FC22FF" w:rsidR="008726BA" w:rsidRDefault="008726BA">
            <w:r>
              <w:t>Medium</w:t>
            </w:r>
          </w:p>
        </w:tc>
        <w:tc>
          <w:tcPr>
            <w:tcW w:w="906" w:type="dxa"/>
          </w:tcPr>
          <w:p w14:paraId="0E7B3417" w14:textId="77777777" w:rsidR="008726BA" w:rsidRDefault="008726BA">
            <w:r>
              <w:t>3</w:t>
            </w:r>
          </w:p>
          <w:p w14:paraId="2A5C395B" w14:textId="24D75233" w:rsidR="008726BA" w:rsidRDefault="008726BA"/>
        </w:tc>
      </w:tr>
      <w:tr w:rsidR="008726BA" w14:paraId="2F751673" w14:textId="77777777" w:rsidTr="00E5087A">
        <w:tc>
          <w:tcPr>
            <w:tcW w:w="2126" w:type="dxa"/>
          </w:tcPr>
          <w:p w14:paraId="1633A32E" w14:textId="77777777" w:rsidR="008726BA" w:rsidRDefault="008726BA"/>
        </w:tc>
        <w:tc>
          <w:tcPr>
            <w:tcW w:w="2154" w:type="dxa"/>
          </w:tcPr>
          <w:p w14:paraId="5607E2E4" w14:textId="77777777" w:rsidR="008726BA" w:rsidRDefault="008726BA"/>
        </w:tc>
        <w:tc>
          <w:tcPr>
            <w:tcW w:w="1107" w:type="dxa"/>
          </w:tcPr>
          <w:p w14:paraId="0798341A" w14:textId="39EAF353" w:rsidR="008726BA" w:rsidRDefault="008726BA">
            <w:r>
              <w:t>8</w:t>
            </w:r>
          </w:p>
        </w:tc>
        <w:tc>
          <w:tcPr>
            <w:tcW w:w="4961" w:type="dxa"/>
          </w:tcPr>
          <w:p w14:paraId="751372CE" w14:textId="2DF8CB45" w:rsidR="008726BA" w:rsidRDefault="008726BA">
            <w:r>
              <w:t>Historical data on economic stability in borrowing countries to assess long term impacts of lending the loans</w:t>
            </w:r>
          </w:p>
        </w:tc>
        <w:tc>
          <w:tcPr>
            <w:tcW w:w="3118" w:type="dxa"/>
          </w:tcPr>
          <w:p w14:paraId="06282CDE" w14:textId="44FF91A3" w:rsidR="008726BA" w:rsidRDefault="008726BA">
            <w:r>
              <w:t>Use data to make informed Predictions and assessment about the money</w:t>
            </w:r>
          </w:p>
        </w:tc>
        <w:tc>
          <w:tcPr>
            <w:tcW w:w="993" w:type="dxa"/>
          </w:tcPr>
          <w:p w14:paraId="4E4E0701" w14:textId="42B0A7EB" w:rsidR="008726BA" w:rsidRDefault="008726BA">
            <w:r>
              <w:t>Medium</w:t>
            </w:r>
          </w:p>
        </w:tc>
        <w:tc>
          <w:tcPr>
            <w:tcW w:w="906" w:type="dxa"/>
          </w:tcPr>
          <w:p w14:paraId="226FA0B5" w14:textId="0E26CAE6" w:rsidR="008726BA" w:rsidRDefault="008726BA">
            <w:r>
              <w:t>3</w:t>
            </w:r>
          </w:p>
        </w:tc>
      </w:tr>
    </w:tbl>
    <w:p w14:paraId="2FE96C86" w14:textId="77777777" w:rsidR="009366C7" w:rsidRDefault="009366C7"/>
    <w:sectPr w:rsidR="009366C7">
      <w:type w:val="continuous"/>
      <w:pgSz w:w="15840" w:h="12240" w:orient="landscape"/>
      <w:pgMar w:top="1140" w:right="8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5C"/>
    <w:rsid w:val="001A1FDE"/>
    <w:rsid w:val="0065255C"/>
    <w:rsid w:val="006B3AF0"/>
    <w:rsid w:val="007D4FD4"/>
    <w:rsid w:val="007F6A70"/>
    <w:rsid w:val="008726BA"/>
    <w:rsid w:val="009366C7"/>
    <w:rsid w:val="00B753CF"/>
    <w:rsid w:val="00C6299E"/>
    <w:rsid w:val="00E5087A"/>
    <w:rsid w:val="00E8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D18B1"/>
  <w15:docId w15:val="{ED5342D4-43D5-4D66-819F-570DDC52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77"/>
      <w:ind w:left="1149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7D4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F6A7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117">
          <w:marLeft w:val="25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21BMR10013</cp:lastModifiedBy>
  <cp:revision>2</cp:revision>
  <cp:lastPrinted>2023-10-23T17:05:00Z</cp:lastPrinted>
  <dcterms:created xsi:type="dcterms:W3CDTF">2023-10-23T22:08:00Z</dcterms:created>
  <dcterms:modified xsi:type="dcterms:W3CDTF">2023-10-23T22:08:00Z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LastSaved">
    <vt:filetime>2023-10-23T00:00:00Z</vt:filetime>
  </property>
</Properties>
</file>