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266A" w14:textId="77777777" w:rsidR="00543F49" w:rsidRDefault="00000000">
      <w:pPr>
        <w:spacing w:after="0"/>
        <w:ind w:left="3416" w:hanging="10"/>
      </w:pPr>
      <w:r>
        <w:rPr>
          <w:b/>
          <w:sz w:val="24"/>
        </w:rPr>
        <w:t xml:space="preserve">Project Design Phase-I </w:t>
      </w:r>
    </w:p>
    <w:p w14:paraId="795B997B" w14:textId="77777777" w:rsidR="00543F49" w:rsidRDefault="00000000">
      <w:pPr>
        <w:spacing w:after="0"/>
        <w:ind w:left="3094" w:hanging="10"/>
      </w:pPr>
      <w:r>
        <w:rPr>
          <w:b/>
          <w:sz w:val="24"/>
        </w:rPr>
        <w:t xml:space="preserve">Proposed Solution Template </w:t>
      </w:r>
    </w:p>
    <w:p w14:paraId="4A1BEFF4" w14:textId="77777777" w:rsidR="00543F49"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543F49" w14:paraId="04D6BAF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CD14F9D" w14:textId="77777777" w:rsidR="00543F49"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4E80A0E" w14:textId="2A92EC94" w:rsidR="00543F49" w:rsidRDefault="001D01DD">
            <w:pPr>
              <w:spacing w:after="0"/>
            </w:pPr>
            <w:r>
              <w:t>22 November 2023</w:t>
            </w:r>
          </w:p>
        </w:tc>
      </w:tr>
      <w:tr w:rsidR="00543F49" w14:paraId="67C3DD1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CD05826" w14:textId="77777777" w:rsidR="00543F49"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FD27449" w14:textId="74E1BEDC" w:rsidR="00543F49" w:rsidRDefault="001D01DD">
            <w:pPr>
              <w:spacing w:after="0"/>
            </w:pPr>
            <w:r>
              <w:t>Team-591664</w:t>
            </w:r>
          </w:p>
        </w:tc>
      </w:tr>
      <w:tr w:rsidR="00543F49" w14:paraId="3E7CB4C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006EED6" w14:textId="77777777" w:rsidR="00543F49"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5057C42" w14:textId="7B3D9E1C" w:rsidR="00543F49" w:rsidRDefault="00000000">
            <w:pPr>
              <w:spacing w:after="0"/>
            </w:pPr>
            <w:r>
              <w:t xml:space="preserve">Project </w:t>
            </w:r>
            <w:r w:rsidR="001D01DD">
              <w:t>–</w:t>
            </w:r>
            <w:r>
              <w:t xml:space="preserve"> </w:t>
            </w:r>
            <w:r w:rsidR="001D01DD">
              <w:t>Image Caption Generation</w:t>
            </w:r>
            <w:r>
              <w:t xml:space="preserve"> </w:t>
            </w:r>
          </w:p>
        </w:tc>
      </w:tr>
      <w:tr w:rsidR="00543F49" w14:paraId="10C76BB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12F6CF0" w14:textId="77777777" w:rsidR="00543F49"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37313B2" w14:textId="77777777" w:rsidR="00543F49" w:rsidRDefault="00000000">
            <w:pPr>
              <w:spacing w:after="0"/>
            </w:pPr>
            <w:r>
              <w:t xml:space="preserve">2 Marks </w:t>
            </w:r>
          </w:p>
        </w:tc>
      </w:tr>
    </w:tbl>
    <w:p w14:paraId="4D7BC2A3" w14:textId="77777777" w:rsidR="00543F49" w:rsidRDefault="00000000">
      <w:r>
        <w:rPr>
          <w:b/>
        </w:rPr>
        <w:t xml:space="preserve"> </w:t>
      </w:r>
    </w:p>
    <w:p w14:paraId="1FE6D6C9" w14:textId="77777777" w:rsidR="00543F49" w:rsidRDefault="00000000">
      <w:pPr>
        <w:spacing w:after="158"/>
      </w:pPr>
      <w:r>
        <w:rPr>
          <w:b/>
        </w:rPr>
        <w:t xml:space="preserve">Proposed Solution Template: </w:t>
      </w:r>
    </w:p>
    <w:p w14:paraId="75CAA240" w14:textId="77777777" w:rsidR="00543F49"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543F49" w14:paraId="13680B99"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79BF6B28" w14:textId="77777777" w:rsidR="00543F49"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F7ECBC0" w14:textId="77777777" w:rsidR="00543F49"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E5B6614" w14:textId="77777777" w:rsidR="00543F49" w:rsidRDefault="00000000">
            <w:pPr>
              <w:spacing w:after="0"/>
              <w:ind w:left="2"/>
            </w:pPr>
            <w:r>
              <w:rPr>
                <w:b/>
              </w:rPr>
              <w:t xml:space="preserve">Description </w:t>
            </w:r>
          </w:p>
        </w:tc>
      </w:tr>
      <w:tr w:rsidR="00543F49" w14:paraId="61962DD8"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1991A9A7" w14:textId="77777777" w:rsidR="00543F49"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4262092" w14:textId="77777777" w:rsidR="00543F49"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5BC3DA8" w14:textId="0BFA05B8" w:rsidR="00543F49" w:rsidRDefault="001D01DD">
            <w:pPr>
              <w:spacing w:after="0"/>
              <w:ind w:left="2"/>
            </w:pPr>
            <w:r w:rsidRPr="001D01DD">
              <w:t>In the age of digital content and image-driven communication, providing automatic descriptive captions for images is crucial. This project utilizes deep learning techniques, specifically Convolutional Neural Networks (CNN) and Long Short-Term Memory (LSTM) networks, to address the challenge of translating visual understanding into coherent natural language. The goal is to offer automated image captioning solutions with applications in content generation, accessibility, image indexing, and more.</w:t>
            </w:r>
          </w:p>
        </w:tc>
      </w:tr>
      <w:tr w:rsidR="00543F49" w14:paraId="599D65C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5969B32D" w14:textId="77777777" w:rsidR="00543F49"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70B9AEA" w14:textId="77777777" w:rsidR="00543F49"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FBF4192" w14:textId="77777777" w:rsidR="001D01DD" w:rsidRDefault="00000000" w:rsidP="001D01DD">
            <w:pPr>
              <w:spacing w:after="0"/>
              <w:ind w:left="2"/>
            </w:pPr>
            <w:r>
              <w:t xml:space="preserve"> </w:t>
            </w:r>
            <w:r w:rsidR="001D01DD">
              <w:t>Project Focus:</w:t>
            </w:r>
          </w:p>
          <w:p w14:paraId="7743648A" w14:textId="77777777" w:rsidR="001D01DD" w:rsidRDefault="001D01DD" w:rsidP="001D01DD">
            <w:pPr>
              <w:spacing w:after="0"/>
              <w:ind w:left="2"/>
            </w:pPr>
            <w:r>
              <w:t xml:space="preserve">Our project </w:t>
            </w:r>
            <w:proofErr w:type="spellStart"/>
            <w:r>
              <w:t>centers</w:t>
            </w:r>
            <w:proofErr w:type="spellEnd"/>
            <w:r>
              <w:t xml:space="preserve"> on automated image captioning, leveraging the capabilities of deep learning, specifically Convolutional Neural Networks (CNN) and Long Short-Term Memory (LSTM) networks. The primary objective is to generate human-readable descriptions for images, especially photographs. This task, inherently simple for humans, poses a significant challenge for computers, requiring both image comprehension and natural language translation.</w:t>
            </w:r>
          </w:p>
          <w:p w14:paraId="6F74EE8D" w14:textId="77777777" w:rsidR="001D01DD" w:rsidRDefault="001D01DD" w:rsidP="001D01DD">
            <w:pPr>
              <w:spacing w:after="0"/>
              <w:ind w:left="2"/>
            </w:pPr>
          </w:p>
          <w:p w14:paraId="73F09121" w14:textId="77777777" w:rsidR="001D01DD" w:rsidRDefault="001D01DD" w:rsidP="001D01DD">
            <w:pPr>
              <w:spacing w:after="0"/>
              <w:ind w:left="2"/>
            </w:pPr>
            <w:r>
              <w:t>Approach:</w:t>
            </w:r>
          </w:p>
          <w:p w14:paraId="6EFC8D35" w14:textId="77777777" w:rsidR="001D01DD" w:rsidRDefault="001D01DD" w:rsidP="001D01DD">
            <w:pPr>
              <w:spacing w:after="0"/>
              <w:ind w:left="2"/>
            </w:pPr>
            <w:r>
              <w:t xml:space="preserve">Utilizing large and diverse datasets along with substantial computational resources, our aim is to develop a state-of-the-art model capable of understanding image content and generating contextually relevant and coherent captions. The solution involves preprocessing and feature extraction to enable CNNs to extract vital visual </w:t>
            </w:r>
            <w:r>
              <w:lastRenderedPageBreak/>
              <w:t>features, followed by LSTM-driven language generation. Rigorous evaluation and benchmarking, implemented in Python for accessibility, are integral to ensuring superior performance.</w:t>
            </w:r>
          </w:p>
          <w:p w14:paraId="69C20B95" w14:textId="77777777" w:rsidR="001D01DD" w:rsidRDefault="001D01DD" w:rsidP="001D01DD">
            <w:pPr>
              <w:spacing w:after="0"/>
              <w:ind w:left="2"/>
            </w:pPr>
          </w:p>
          <w:p w14:paraId="54435188" w14:textId="77777777" w:rsidR="001D01DD" w:rsidRDefault="001D01DD" w:rsidP="001D01DD">
            <w:pPr>
              <w:spacing w:after="0"/>
              <w:ind w:left="2"/>
            </w:pPr>
            <w:r>
              <w:t>Applications:</w:t>
            </w:r>
          </w:p>
          <w:p w14:paraId="2342ED7C" w14:textId="359BB8A8" w:rsidR="00543F49" w:rsidRDefault="001D01DD" w:rsidP="001D01DD">
            <w:pPr>
              <w:spacing w:after="0"/>
              <w:ind w:left="2"/>
            </w:pPr>
            <w:r>
              <w:t>This project has broad applications, including content generation, accessibility enhancements, image indexing, and more. By employing advanced deep learning techniques, it aims to bridge the gap between visual and textual understanding in the realm of automated image captioning.</w:t>
            </w:r>
          </w:p>
        </w:tc>
      </w:tr>
      <w:tr w:rsidR="00543F49" w14:paraId="199DCB22"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0656FBFC" w14:textId="77777777" w:rsidR="00543F49" w:rsidRDefault="00000000">
            <w:pPr>
              <w:spacing w:after="0"/>
              <w:ind w:left="286"/>
            </w:pPr>
            <w:r>
              <w:lastRenderedPageBreak/>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20DA0DA" w14:textId="77777777" w:rsidR="00543F49"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5A2CF20" w14:textId="77777777" w:rsidR="001D01DD" w:rsidRDefault="00000000" w:rsidP="001D01DD">
            <w:pPr>
              <w:spacing w:after="0"/>
              <w:ind w:left="2"/>
            </w:pPr>
            <w:r>
              <w:t xml:space="preserve"> </w:t>
            </w:r>
            <w:r w:rsidR="001D01DD">
              <w:t>Project Uniqueness:</w:t>
            </w:r>
          </w:p>
          <w:p w14:paraId="01F0E79B" w14:textId="77777777" w:rsidR="001D01DD" w:rsidRDefault="001D01DD" w:rsidP="001D01DD">
            <w:pPr>
              <w:spacing w:after="0"/>
              <w:ind w:left="2"/>
            </w:pPr>
            <w:r>
              <w:t>The uniqueness of our project lies in the incorporation of cutting-edge deep learning techniques, specifically the fusion of Convolutional Neural Networks (CNNs) and Long Short-Term Memory (LSTM) networks. This fusion enables the generation of image captions with unprecedented accuracy and coherence. What sets us apart is our emphasis on utilizing extensive and diverse image datasets, enhancing adaptability across various image types and domains.</w:t>
            </w:r>
          </w:p>
          <w:p w14:paraId="11F1C4DB" w14:textId="77777777" w:rsidR="001D01DD" w:rsidRDefault="001D01DD" w:rsidP="001D01DD">
            <w:pPr>
              <w:spacing w:after="0"/>
              <w:ind w:left="2"/>
            </w:pPr>
          </w:p>
          <w:p w14:paraId="0319CB19" w14:textId="77777777" w:rsidR="001D01DD" w:rsidRDefault="001D01DD" w:rsidP="001D01DD">
            <w:pPr>
              <w:spacing w:after="0"/>
              <w:ind w:left="2"/>
            </w:pPr>
            <w:r>
              <w:t>Differentiators:</w:t>
            </w:r>
          </w:p>
          <w:p w14:paraId="6FE0AEC6" w14:textId="0F9137C8" w:rsidR="00543F49" w:rsidRDefault="001D01DD" w:rsidP="001D01DD">
            <w:pPr>
              <w:spacing w:after="0"/>
              <w:ind w:left="2"/>
            </w:pPr>
            <w:r>
              <w:t>We differentiate ourselves by not only prioritizing high accuracy but also placing a strong emphasis on contextual relevance and linguistic coherence. This commitment positions our project as a state-of-the-art solution, surpassing existing alternatives. Additionally, the versatility of our Python-based implementation ensures seamless integration into a wide array of applications, making our groundbreaking image captioning technology both innovative and accessible for a broad audience.</w:t>
            </w:r>
          </w:p>
        </w:tc>
      </w:tr>
      <w:tr w:rsidR="00543F49" w14:paraId="2293542D"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55868BBA" w14:textId="77777777" w:rsidR="00543F49"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5AB3723" w14:textId="77777777" w:rsidR="00543F49"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FA8C703" w14:textId="77777777" w:rsidR="001D01DD" w:rsidRDefault="00000000" w:rsidP="001D01DD">
            <w:pPr>
              <w:spacing w:after="0"/>
              <w:ind w:left="2"/>
            </w:pPr>
            <w:r>
              <w:t xml:space="preserve"> </w:t>
            </w:r>
            <w:r w:rsidR="001D01DD">
              <w:t>Social Impact and Customer Satisfaction:</w:t>
            </w:r>
          </w:p>
          <w:p w14:paraId="08E7C497" w14:textId="77777777" w:rsidR="001D01DD" w:rsidRDefault="001D01DD" w:rsidP="001D01DD">
            <w:pPr>
              <w:spacing w:after="0"/>
              <w:ind w:left="2"/>
            </w:pPr>
            <w:r>
              <w:t xml:space="preserve">Our project holds significant potential for profound social impact and heightened customer satisfaction. By automating the generation of descriptive captions for images, we empower individuals with visual impairments, enhancing their ability to access </w:t>
            </w:r>
            <w:r>
              <w:lastRenderedPageBreak/>
              <w:t>and understand visual content and thereby promoting digital inclusivity.</w:t>
            </w:r>
          </w:p>
          <w:p w14:paraId="3E6D8A21" w14:textId="77777777" w:rsidR="001D01DD" w:rsidRDefault="001D01DD" w:rsidP="001D01DD">
            <w:pPr>
              <w:spacing w:after="0"/>
              <w:ind w:left="2"/>
            </w:pPr>
          </w:p>
          <w:p w14:paraId="0B58F373" w14:textId="77777777" w:rsidR="001D01DD" w:rsidRDefault="001D01DD" w:rsidP="001D01DD">
            <w:pPr>
              <w:spacing w:after="0"/>
              <w:ind w:left="2"/>
            </w:pPr>
            <w:r>
              <w:t>Benefits Across Sectors:</w:t>
            </w:r>
          </w:p>
          <w:p w14:paraId="6E8045FC" w14:textId="77777777" w:rsidR="001D01DD" w:rsidRDefault="001D01DD" w:rsidP="001D01DD">
            <w:pPr>
              <w:spacing w:after="0"/>
              <w:ind w:left="2"/>
            </w:pPr>
            <w:r>
              <w:t>Furthermore, content creators, businesses, and researchers stand to benefit from our solution. It facilitates the efficient organization and enrichment of image archives, enabling effective content marketing and improving search engine optimization. The technology not only streamlines content creation processes but also enhances user engagement, satisfaction, and accessibility.</w:t>
            </w:r>
          </w:p>
          <w:p w14:paraId="4A09D220" w14:textId="77777777" w:rsidR="001D01DD" w:rsidRDefault="001D01DD" w:rsidP="001D01DD">
            <w:pPr>
              <w:spacing w:after="0"/>
              <w:ind w:left="2"/>
            </w:pPr>
          </w:p>
          <w:p w14:paraId="75CEFFF2" w14:textId="77777777" w:rsidR="001D01DD" w:rsidRDefault="001D01DD" w:rsidP="001D01DD">
            <w:pPr>
              <w:spacing w:after="0"/>
              <w:ind w:left="2"/>
            </w:pPr>
            <w:r>
              <w:t>Contributing to a Better Digital Landscape:</w:t>
            </w:r>
          </w:p>
          <w:p w14:paraId="346F0804" w14:textId="213DDD74" w:rsidR="00543F49" w:rsidRDefault="001D01DD" w:rsidP="001D01DD">
            <w:pPr>
              <w:spacing w:after="0"/>
              <w:ind w:left="2"/>
            </w:pPr>
            <w:r>
              <w:t>This collective impact contributes to a more inclusive and efficient digital landscape, catering to a broader audience and driving customer satisfaction. Our project aims to play a pivotal role in making digital content more accessible and user-friendly, fostering a positive and inclusive online environment.</w:t>
            </w:r>
          </w:p>
        </w:tc>
      </w:tr>
      <w:tr w:rsidR="00543F49" w14:paraId="458D17F3"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9110A35" w14:textId="77777777" w:rsidR="00543F49"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DC14E25" w14:textId="77777777" w:rsidR="00543F49"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3915CF6" w14:textId="77777777" w:rsidR="001D01DD" w:rsidRDefault="00000000" w:rsidP="001D01DD">
            <w:pPr>
              <w:spacing w:after="0"/>
              <w:ind w:left="2"/>
            </w:pPr>
            <w:r>
              <w:t xml:space="preserve"> </w:t>
            </w:r>
            <w:r w:rsidR="001D01DD">
              <w:t>Our business model is structured to be versatile, encompassing key elements to ensure sustainability and scalability.</w:t>
            </w:r>
          </w:p>
          <w:p w14:paraId="2AA83A83" w14:textId="77777777" w:rsidR="001D01DD" w:rsidRDefault="001D01DD" w:rsidP="001D01DD">
            <w:pPr>
              <w:spacing w:after="0"/>
              <w:ind w:left="2"/>
            </w:pPr>
          </w:p>
          <w:p w14:paraId="12D971DC" w14:textId="77777777" w:rsidR="001D01DD" w:rsidRDefault="001D01DD" w:rsidP="001D01DD">
            <w:pPr>
              <w:spacing w:after="0"/>
              <w:ind w:left="2"/>
            </w:pPr>
            <w:r>
              <w:t>Revenue Streams:</w:t>
            </w:r>
          </w:p>
          <w:p w14:paraId="3AF1B63A" w14:textId="77777777" w:rsidR="001D01DD" w:rsidRDefault="001D01DD" w:rsidP="001D01DD">
            <w:pPr>
              <w:spacing w:after="0"/>
              <w:ind w:left="2"/>
            </w:pPr>
          </w:p>
          <w:p w14:paraId="65E8967A" w14:textId="77777777" w:rsidR="001D01DD" w:rsidRDefault="001D01DD" w:rsidP="001D01DD">
            <w:pPr>
              <w:spacing w:after="0"/>
              <w:ind w:left="2"/>
            </w:pPr>
            <w:r>
              <w:t>Subscription-based Service:</w:t>
            </w:r>
          </w:p>
          <w:p w14:paraId="26E1A422" w14:textId="77777777" w:rsidR="001D01DD" w:rsidRDefault="001D01DD" w:rsidP="001D01DD">
            <w:pPr>
              <w:spacing w:after="0"/>
              <w:ind w:left="2"/>
            </w:pPr>
          </w:p>
          <w:p w14:paraId="39626FB6" w14:textId="77777777" w:rsidR="001D01DD" w:rsidRDefault="001D01DD" w:rsidP="001D01DD">
            <w:pPr>
              <w:spacing w:after="0"/>
              <w:ind w:left="2"/>
            </w:pPr>
            <w:r>
              <w:t>Targeting businesses and content creators, we offer a subscription-based service. This caters to those relying on our automated image captioning technology to enhance content marketing, improve accessibility, and streamline image organization.</w:t>
            </w:r>
          </w:p>
          <w:p w14:paraId="10647E46" w14:textId="77777777" w:rsidR="001D01DD" w:rsidRDefault="001D01DD" w:rsidP="001D01DD">
            <w:pPr>
              <w:spacing w:after="0"/>
              <w:ind w:left="2"/>
            </w:pPr>
            <w:r>
              <w:t>Enterprise-level Licensing:</w:t>
            </w:r>
          </w:p>
          <w:p w14:paraId="7A4CFF25" w14:textId="77777777" w:rsidR="001D01DD" w:rsidRDefault="001D01DD" w:rsidP="001D01DD">
            <w:pPr>
              <w:spacing w:after="0"/>
              <w:ind w:left="2"/>
            </w:pPr>
          </w:p>
          <w:p w14:paraId="76E525B9" w14:textId="77777777" w:rsidR="001D01DD" w:rsidRDefault="001D01DD" w:rsidP="001D01DD">
            <w:pPr>
              <w:spacing w:after="0"/>
              <w:ind w:left="2"/>
            </w:pPr>
            <w:r>
              <w:t>For organizations with larger-scale image captioning needs, we provide enterprise-level licensing. This includes tailored solutions and dedicated support to meet specific requirements.</w:t>
            </w:r>
          </w:p>
          <w:p w14:paraId="4FE53101" w14:textId="77777777" w:rsidR="001D01DD" w:rsidRDefault="001D01DD" w:rsidP="001D01DD">
            <w:pPr>
              <w:spacing w:after="0"/>
              <w:ind w:left="2"/>
            </w:pPr>
            <w:r>
              <w:t>Free Basic Tier:</w:t>
            </w:r>
          </w:p>
          <w:p w14:paraId="2695C483" w14:textId="77777777" w:rsidR="001D01DD" w:rsidRDefault="001D01DD" w:rsidP="001D01DD">
            <w:pPr>
              <w:spacing w:after="0"/>
              <w:ind w:left="2"/>
            </w:pPr>
          </w:p>
          <w:p w14:paraId="5AA0A490" w14:textId="77777777" w:rsidR="001D01DD" w:rsidRDefault="001D01DD" w:rsidP="001D01DD">
            <w:pPr>
              <w:spacing w:after="0"/>
              <w:ind w:left="2"/>
            </w:pPr>
            <w:r>
              <w:lastRenderedPageBreak/>
              <w:t>To attract a wide user base and foster brand loyalty, we offer a free basic tier. This ensures accessibility for a diverse range of users.</w:t>
            </w:r>
          </w:p>
          <w:p w14:paraId="5FD61362" w14:textId="77777777" w:rsidR="001D01DD" w:rsidRDefault="001D01DD" w:rsidP="001D01DD">
            <w:pPr>
              <w:spacing w:after="0"/>
              <w:ind w:left="2"/>
            </w:pPr>
            <w:r>
              <w:t>Partnerships and API Access:</w:t>
            </w:r>
          </w:p>
          <w:p w14:paraId="32B28619" w14:textId="77777777" w:rsidR="001D01DD" w:rsidRDefault="001D01DD" w:rsidP="001D01DD">
            <w:pPr>
              <w:spacing w:after="0"/>
              <w:ind w:left="2"/>
            </w:pPr>
          </w:p>
          <w:p w14:paraId="05CF2B5A" w14:textId="77777777" w:rsidR="001D01DD" w:rsidRDefault="001D01DD" w:rsidP="001D01DD">
            <w:pPr>
              <w:spacing w:after="0"/>
              <w:ind w:left="2"/>
            </w:pPr>
            <w:r>
              <w:t>Revenue is generated through partnerships with image hosting platforms and providing API access for third-party applications.</w:t>
            </w:r>
          </w:p>
          <w:p w14:paraId="77BECCFF" w14:textId="77777777" w:rsidR="001D01DD" w:rsidRDefault="001D01DD" w:rsidP="001D01DD">
            <w:pPr>
              <w:spacing w:after="0"/>
              <w:ind w:left="2"/>
            </w:pPr>
            <w:r>
              <w:t>Monetization Strategy:</w:t>
            </w:r>
          </w:p>
          <w:p w14:paraId="2BDFD8CE" w14:textId="6DCB4067" w:rsidR="00543F49" w:rsidRDefault="001D01DD" w:rsidP="001D01DD">
            <w:pPr>
              <w:spacing w:after="0"/>
              <w:ind w:left="2"/>
            </w:pPr>
            <w:r>
              <w:t>As our user base expands, our monetization strategy evolves, ensuring sustainability and scalability. This involves providing value-driven services to a diverse range of clients, adapting to the changing needs of our growing user community.</w:t>
            </w:r>
          </w:p>
        </w:tc>
      </w:tr>
      <w:tr w:rsidR="00543F49" w14:paraId="4FF9072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50DC9932" w14:textId="77777777" w:rsidR="00543F49" w:rsidRDefault="00000000">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9EDFDCA" w14:textId="77777777" w:rsidR="00543F49"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63FA5EAB" w14:textId="77777777" w:rsidR="001D01DD" w:rsidRDefault="00000000" w:rsidP="001D01DD">
            <w:pPr>
              <w:spacing w:after="0"/>
              <w:ind w:left="2"/>
            </w:pPr>
            <w:r>
              <w:t xml:space="preserve"> </w:t>
            </w:r>
            <w:r w:rsidR="001D01DD">
              <w:t>Scalability Overview:</w:t>
            </w:r>
          </w:p>
          <w:p w14:paraId="170EBA7D" w14:textId="77777777" w:rsidR="001D01DD" w:rsidRDefault="001D01DD" w:rsidP="001D01DD">
            <w:pPr>
              <w:spacing w:after="0"/>
              <w:ind w:left="2"/>
            </w:pPr>
            <w:r>
              <w:t>The scalability of our solution is a foundational element, designed to seamlessly evolve to meet rising demand and diverse user requirements in automated image captioning.</w:t>
            </w:r>
          </w:p>
          <w:p w14:paraId="2B150442" w14:textId="77777777" w:rsidR="001D01DD" w:rsidRDefault="001D01DD" w:rsidP="001D01DD">
            <w:pPr>
              <w:spacing w:after="0"/>
              <w:ind w:left="2"/>
            </w:pPr>
          </w:p>
          <w:p w14:paraId="60513051" w14:textId="77777777" w:rsidR="001D01DD" w:rsidRDefault="001D01DD" w:rsidP="001D01DD">
            <w:pPr>
              <w:spacing w:after="0"/>
              <w:ind w:left="2"/>
            </w:pPr>
            <w:r>
              <w:t>Key Scalability Features:</w:t>
            </w:r>
          </w:p>
          <w:p w14:paraId="25B77330" w14:textId="77777777" w:rsidR="001D01DD" w:rsidRDefault="001D01DD" w:rsidP="001D01DD">
            <w:pPr>
              <w:spacing w:after="0"/>
              <w:ind w:left="2"/>
            </w:pPr>
          </w:p>
          <w:p w14:paraId="09CAB129" w14:textId="77777777" w:rsidR="001D01DD" w:rsidRDefault="001D01DD" w:rsidP="001D01DD">
            <w:pPr>
              <w:spacing w:after="0"/>
              <w:ind w:left="2"/>
            </w:pPr>
            <w:r>
              <w:t>Flexible Architecture:</w:t>
            </w:r>
          </w:p>
          <w:p w14:paraId="3FFB38A1" w14:textId="77777777" w:rsidR="001D01DD" w:rsidRDefault="001D01DD" w:rsidP="001D01DD">
            <w:pPr>
              <w:spacing w:after="0"/>
              <w:ind w:left="2"/>
            </w:pPr>
          </w:p>
          <w:p w14:paraId="23B83DF3" w14:textId="77777777" w:rsidR="001D01DD" w:rsidRDefault="001D01DD" w:rsidP="001D01DD">
            <w:pPr>
              <w:spacing w:after="0"/>
              <w:ind w:left="2"/>
            </w:pPr>
            <w:r>
              <w:t>Our deep learning model is built on a flexible architecture, allowing it to efficiently scale and accommodate larger workloads. This is achieved by leveraging cloud-based computational resources, enabling parallel processing, and enhancing dataset comprehensiveness.</w:t>
            </w:r>
          </w:p>
          <w:p w14:paraId="6E2D555D" w14:textId="77777777" w:rsidR="001D01DD" w:rsidRDefault="001D01DD" w:rsidP="001D01DD">
            <w:pPr>
              <w:spacing w:after="0"/>
              <w:ind w:left="2"/>
            </w:pPr>
            <w:r>
              <w:t>Cloud-Based Resources:</w:t>
            </w:r>
          </w:p>
          <w:p w14:paraId="5C30B291" w14:textId="77777777" w:rsidR="001D01DD" w:rsidRDefault="001D01DD" w:rsidP="001D01DD">
            <w:pPr>
              <w:spacing w:after="0"/>
              <w:ind w:left="2"/>
            </w:pPr>
          </w:p>
          <w:p w14:paraId="533F402A" w14:textId="77777777" w:rsidR="001D01DD" w:rsidRDefault="001D01DD" w:rsidP="001D01DD">
            <w:pPr>
              <w:spacing w:after="0"/>
              <w:ind w:left="2"/>
            </w:pPr>
            <w:r>
              <w:t>Utilizing cloud-based resources ensures that our system can efficiently scale to meet increased demand. This approach optimizes performance and allows for seamless expansion as needed.</w:t>
            </w:r>
          </w:p>
          <w:p w14:paraId="3C8D5CC8" w14:textId="77777777" w:rsidR="001D01DD" w:rsidRDefault="001D01DD" w:rsidP="001D01DD">
            <w:pPr>
              <w:spacing w:after="0"/>
              <w:ind w:left="2"/>
            </w:pPr>
            <w:r>
              <w:t>API Integration:</w:t>
            </w:r>
          </w:p>
          <w:p w14:paraId="162D301D" w14:textId="77777777" w:rsidR="001D01DD" w:rsidRDefault="001D01DD" w:rsidP="001D01DD">
            <w:pPr>
              <w:spacing w:after="0"/>
              <w:ind w:left="2"/>
            </w:pPr>
          </w:p>
          <w:p w14:paraId="5E9B78A3" w14:textId="77777777" w:rsidR="001D01DD" w:rsidRDefault="001D01DD" w:rsidP="001D01DD">
            <w:pPr>
              <w:spacing w:after="0"/>
              <w:ind w:left="2"/>
            </w:pPr>
            <w:r>
              <w:t>Our API integration facilitates easy adoption by third-party applications, extending the reach of our automated image captioning system across various industries. This integration contributes to the scalability and versatility of our solution.</w:t>
            </w:r>
          </w:p>
          <w:p w14:paraId="0D6FF696" w14:textId="77777777" w:rsidR="001D01DD" w:rsidRDefault="001D01DD" w:rsidP="001D01DD">
            <w:pPr>
              <w:spacing w:after="0"/>
              <w:ind w:left="2"/>
            </w:pPr>
            <w:r>
              <w:t>Continuous Improvement:</w:t>
            </w:r>
          </w:p>
          <w:p w14:paraId="7A2DF410" w14:textId="1B538527" w:rsidR="00543F49" w:rsidRDefault="001D01DD" w:rsidP="001D01DD">
            <w:pPr>
              <w:spacing w:after="0"/>
              <w:ind w:left="2"/>
            </w:pPr>
            <w:r>
              <w:lastRenderedPageBreak/>
              <w:t>As our user base grows, we commit to investing in continuous research and development. This effort aims to further enhance performance, adapt to new domains, and ensure customer satisfaction. Our solution is positioned as an agile and sustainable choice for businesses and individuals seeking advanced image captioning capabilities.</w:t>
            </w:r>
          </w:p>
        </w:tc>
      </w:tr>
    </w:tbl>
    <w:p w14:paraId="1F94D21E" w14:textId="77777777" w:rsidR="00543F49" w:rsidRDefault="00000000">
      <w:pPr>
        <w:spacing w:after="0"/>
      </w:pPr>
      <w:r>
        <w:lastRenderedPageBreak/>
        <w:t xml:space="preserve"> </w:t>
      </w:r>
    </w:p>
    <w:sectPr w:rsidR="00543F4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F49"/>
    <w:rsid w:val="001D01DD"/>
    <w:rsid w:val="00543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025"/>
  <w15:docId w15:val="{37CD8627-87E9-47E0-BC9B-AA68D7D4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0305">
      <w:bodyDiv w:val="1"/>
      <w:marLeft w:val="0"/>
      <w:marRight w:val="0"/>
      <w:marTop w:val="0"/>
      <w:marBottom w:val="0"/>
      <w:divBdr>
        <w:top w:val="none" w:sz="0" w:space="0" w:color="auto"/>
        <w:left w:val="none" w:sz="0" w:space="0" w:color="auto"/>
        <w:bottom w:val="none" w:sz="0" w:space="0" w:color="auto"/>
        <w:right w:val="none" w:sz="0" w:space="0" w:color="auto"/>
      </w:divBdr>
    </w:div>
    <w:div w:id="885458630">
      <w:bodyDiv w:val="1"/>
      <w:marLeft w:val="0"/>
      <w:marRight w:val="0"/>
      <w:marTop w:val="0"/>
      <w:marBottom w:val="0"/>
      <w:divBdr>
        <w:top w:val="none" w:sz="0" w:space="0" w:color="auto"/>
        <w:left w:val="none" w:sz="0" w:space="0" w:color="auto"/>
        <w:bottom w:val="none" w:sz="0" w:space="0" w:color="auto"/>
        <w:right w:val="none" w:sz="0" w:space="0" w:color="auto"/>
      </w:divBdr>
    </w:div>
    <w:div w:id="1012102160">
      <w:bodyDiv w:val="1"/>
      <w:marLeft w:val="0"/>
      <w:marRight w:val="0"/>
      <w:marTop w:val="0"/>
      <w:marBottom w:val="0"/>
      <w:divBdr>
        <w:top w:val="none" w:sz="0" w:space="0" w:color="auto"/>
        <w:left w:val="none" w:sz="0" w:space="0" w:color="auto"/>
        <w:bottom w:val="none" w:sz="0" w:space="0" w:color="auto"/>
        <w:right w:val="none" w:sz="0" w:space="0" w:color="auto"/>
      </w:divBdr>
    </w:div>
    <w:div w:id="1876770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lakshmi bhavani</cp:lastModifiedBy>
  <cp:revision>2</cp:revision>
  <dcterms:created xsi:type="dcterms:W3CDTF">2023-11-22T18:12:00Z</dcterms:created>
  <dcterms:modified xsi:type="dcterms:W3CDTF">2023-11-22T18:12:00Z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2023-11-22T18:12:30Z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7cc5ed4b-56c4-46a0-9c8d-356c2ece9d6a</vt:lpwstr>
  </property>
  <property fmtid="{D5CDD505-2E9C-101B-9397-08002B2CF9AE}" pid="7" name="MSIP_Label_defa4170-0d19-0005-0004-bc88714345d2_ActionId">
    <vt:lpwstr>d9ba222f-09bd-4d68-9483-998cc0aa9cd4</vt:lpwstr>
  </property>
  <property fmtid="{D5CDD505-2E9C-101B-9397-08002B2CF9AE}" pid="8" name="MSIP_Label_defa4170-0d19-0005-0004-bc88714345d2_ContentBits">
    <vt:lpwstr>0</vt:lpwstr>
  </property>
</Properties>
</file>