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84D1" w14:textId="3DACE152" w:rsidR="007E50EC" w:rsidRPr="004D3968" w:rsidRDefault="00740EF6" w:rsidP="00815861">
      <w:pPr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4D3968">
        <w:rPr>
          <w:rFonts w:ascii="Times New Roman" w:hAnsi="Times New Roman" w:cs="Times New Roman"/>
          <w:b/>
          <w:bCs/>
          <w:sz w:val="25"/>
          <w:szCs w:val="25"/>
        </w:rPr>
        <w:t>Project Design Phase – I</w:t>
      </w:r>
    </w:p>
    <w:p w14:paraId="1732D0C4" w14:textId="1FB36F41" w:rsidR="00740EF6" w:rsidRPr="004D3968" w:rsidRDefault="00740EF6" w:rsidP="00815861">
      <w:pPr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4D3968">
        <w:rPr>
          <w:rFonts w:ascii="Times New Roman" w:hAnsi="Times New Roman" w:cs="Times New Roman"/>
          <w:b/>
          <w:bCs/>
          <w:sz w:val="25"/>
          <w:szCs w:val="25"/>
        </w:rPr>
        <w:t xml:space="preserve">Proposed Solution </w:t>
      </w:r>
    </w:p>
    <w:p w14:paraId="65DBC3AE" w14:textId="77777777" w:rsidR="00740EF6" w:rsidRPr="000B3B33" w:rsidRDefault="00740EF6" w:rsidP="00815861">
      <w:pPr>
        <w:jc w:val="center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821"/>
        <w:gridCol w:w="4672"/>
      </w:tblGrid>
      <w:tr w:rsidR="00740EF6" w:rsidRPr="000B3B33" w14:paraId="4DD22AEE" w14:textId="77777777" w:rsidTr="00D43E48">
        <w:trPr>
          <w:trHeight w:val="477"/>
        </w:trPr>
        <w:tc>
          <w:tcPr>
            <w:tcW w:w="4821" w:type="dxa"/>
          </w:tcPr>
          <w:p w14:paraId="21B85B6F" w14:textId="4F4E13CB" w:rsidR="00740EF6" w:rsidRPr="000B3B33" w:rsidRDefault="00740EF6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Date</w:t>
            </w:r>
          </w:p>
        </w:tc>
        <w:tc>
          <w:tcPr>
            <w:tcW w:w="4672" w:type="dxa"/>
          </w:tcPr>
          <w:p w14:paraId="38988279" w14:textId="77777777" w:rsidR="00740EF6" w:rsidRPr="000B3B33" w:rsidRDefault="00740EF6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40EF6" w:rsidRPr="000B3B33" w14:paraId="1E3A3B30" w14:textId="77777777" w:rsidTr="00D43E48">
        <w:trPr>
          <w:trHeight w:val="419"/>
        </w:trPr>
        <w:tc>
          <w:tcPr>
            <w:tcW w:w="4821" w:type="dxa"/>
          </w:tcPr>
          <w:p w14:paraId="12C5D789" w14:textId="1C9B77B4" w:rsidR="00740EF6" w:rsidRPr="000B3B33" w:rsidRDefault="00740EF6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Team Id</w:t>
            </w:r>
          </w:p>
        </w:tc>
        <w:tc>
          <w:tcPr>
            <w:tcW w:w="4672" w:type="dxa"/>
          </w:tcPr>
          <w:p w14:paraId="4AEA6BE6" w14:textId="713B03AA" w:rsidR="00740EF6" w:rsidRPr="000B3B33" w:rsidRDefault="00F66AA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color w:val="222222"/>
                <w:sz w:val="25"/>
                <w:szCs w:val="25"/>
                <w:shd w:val="clear" w:color="auto" w:fill="FFFFFF"/>
              </w:rPr>
              <w:t>Team-592692</w:t>
            </w:r>
          </w:p>
        </w:tc>
      </w:tr>
      <w:tr w:rsidR="00740EF6" w:rsidRPr="000B3B33" w14:paraId="5D4B32C5" w14:textId="77777777" w:rsidTr="00D43E48">
        <w:trPr>
          <w:trHeight w:val="531"/>
        </w:trPr>
        <w:tc>
          <w:tcPr>
            <w:tcW w:w="4821" w:type="dxa"/>
          </w:tcPr>
          <w:p w14:paraId="3AFD51BE" w14:textId="50BE2E5D" w:rsidR="00740EF6" w:rsidRPr="000B3B33" w:rsidRDefault="00740EF6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Project Name</w:t>
            </w:r>
          </w:p>
        </w:tc>
        <w:tc>
          <w:tcPr>
            <w:tcW w:w="4672" w:type="dxa"/>
          </w:tcPr>
          <w:p w14:paraId="2335AD6F" w14:textId="2E4FB71C" w:rsidR="00740EF6" w:rsidRPr="000B3B33" w:rsidRDefault="00C60BC4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C60BC4">
              <w:rPr>
                <w:rFonts w:ascii="Times New Roman" w:hAnsi="Times New Roman" w:cs="Times New Roman"/>
                <w:sz w:val="25"/>
                <w:szCs w:val="25"/>
              </w:rPr>
              <w:t>T20 T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otalitarian</w:t>
            </w:r>
            <w:r w:rsidRPr="00C60BC4">
              <w:rPr>
                <w:rFonts w:ascii="Times New Roman" w:hAnsi="Times New Roman" w:cs="Times New Roman"/>
                <w:sz w:val="25"/>
                <w:szCs w:val="25"/>
              </w:rPr>
              <w:t>: M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astering</w:t>
            </w:r>
            <w:r w:rsidRPr="00C60BC4">
              <w:rPr>
                <w:rFonts w:ascii="Times New Roman" w:hAnsi="Times New Roman" w:cs="Times New Roman"/>
                <w:sz w:val="25"/>
                <w:szCs w:val="25"/>
              </w:rPr>
              <w:t xml:space="preserve"> S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core Predictions</w:t>
            </w:r>
          </w:p>
        </w:tc>
      </w:tr>
      <w:tr w:rsidR="00740EF6" w:rsidRPr="000B3B33" w14:paraId="42F8E85A" w14:textId="77777777" w:rsidTr="005F2A3D">
        <w:trPr>
          <w:trHeight w:val="471"/>
        </w:trPr>
        <w:tc>
          <w:tcPr>
            <w:tcW w:w="4821" w:type="dxa"/>
          </w:tcPr>
          <w:p w14:paraId="28E7994B" w14:textId="7780FD5C" w:rsidR="00740EF6" w:rsidRPr="000B3B33" w:rsidRDefault="00740EF6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Maximum Marks</w:t>
            </w:r>
          </w:p>
        </w:tc>
        <w:tc>
          <w:tcPr>
            <w:tcW w:w="4672" w:type="dxa"/>
          </w:tcPr>
          <w:p w14:paraId="57F09109" w14:textId="12369C8E" w:rsidR="00740EF6" w:rsidRPr="000B3B33" w:rsidRDefault="005F2A3D" w:rsidP="005F2A3D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 Marks</w:t>
            </w:r>
          </w:p>
        </w:tc>
      </w:tr>
    </w:tbl>
    <w:p w14:paraId="76B88350" w14:textId="77777777" w:rsidR="00740EF6" w:rsidRPr="000B3B33" w:rsidRDefault="00740EF6">
      <w:pPr>
        <w:rPr>
          <w:rFonts w:ascii="Times New Roman" w:hAnsi="Times New Roman" w:cs="Times New Roman"/>
          <w:sz w:val="25"/>
          <w:szCs w:val="25"/>
        </w:rPr>
      </w:pPr>
    </w:p>
    <w:p w14:paraId="3DC4008D" w14:textId="77777777" w:rsidR="009F0F45" w:rsidRPr="000B3B33" w:rsidRDefault="009F0F45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6D5A7048" w14:textId="2032E113" w:rsidR="009C144F" w:rsidRDefault="008978E5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0B3B33">
        <w:rPr>
          <w:rFonts w:ascii="Times New Roman" w:hAnsi="Times New Roman" w:cs="Times New Roman"/>
          <w:b/>
          <w:bCs/>
          <w:sz w:val="25"/>
          <w:szCs w:val="25"/>
        </w:rPr>
        <w:t>Proposed Solution:</w:t>
      </w:r>
    </w:p>
    <w:p w14:paraId="7947B57D" w14:textId="77777777" w:rsidR="00537DC1" w:rsidRPr="00537DC1" w:rsidRDefault="00537DC1">
      <w:pPr>
        <w:rPr>
          <w:rFonts w:ascii="Times New Roman" w:hAnsi="Times New Roman" w:cs="Times New Roman"/>
          <w:b/>
          <w:bCs/>
          <w:sz w:val="25"/>
          <w:szCs w:val="25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6"/>
        <w:gridCol w:w="3260"/>
        <w:gridCol w:w="5387"/>
      </w:tblGrid>
      <w:tr w:rsidR="008978E5" w:rsidRPr="000B3B33" w14:paraId="6E24CD80" w14:textId="77777777" w:rsidTr="00D43E48">
        <w:trPr>
          <w:trHeight w:val="458"/>
        </w:trPr>
        <w:tc>
          <w:tcPr>
            <w:tcW w:w="846" w:type="dxa"/>
          </w:tcPr>
          <w:p w14:paraId="15B5455E" w14:textId="217EB79D" w:rsidR="008978E5" w:rsidRPr="000B3B33" w:rsidRDefault="008978E5">
            <w:pP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proofErr w:type="spellStart"/>
            <w:r w:rsidRPr="000B3B33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S.No</w:t>
            </w:r>
            <w:proofErr w:type="spellEnd"/>
            <w:r w:rsidRPr="000B3B33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.</w:t>
            </w:r>
          </w:p>
        </w:tc>
        <w:tc>
          <w:tcPr>
            <w:tcW w:w="3260" w:type="dxa"/>
          </w:tcPr>
          <w:p w14:paraId="6632DF6B" w14:textId="3D2BA232" w:rsidR="008978E5" w:rsidRPr="000B3B33" w:rsidRDefault="008978E5">
            <w:pP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Parameter</w:t>
            </w:r>
          </w:p>
        </w:tc>
        <w:tc>
          <w:tcPr>
            <w:tcW w:w="5387" w:type="dxa"/>
          </w:tcPr>
          <w:p w14:paraId="48B1F585" w14:textId="0D3042E6" w:rsidR="008978E5" w:rsidRPr="000B3B33" w:rsidRDefault="008978E5">
            <w:pP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Description</w:t>
            </w:r>
          </w:p>
        </w:tc>
      </w:tr>
      <w:tr w:rsidR="008978E5" w:rsidRPr="000B3B33" w14:paraId="755B9A5F" w14:textId="77777777" w:rsidTr="00D43E48">
        <w:trPr>
          <w:trHeight w:val="1113"/>
        </w:trPr>
        <w:tc>
          <w:tcPr>
            <w:tcW w:w="846" w:type="dxa"/>
          </w:tcPr>
          <w:p w14:paraId="37EED458" w14:textId="2B33ECFD" w:rsidR="008978E5" w:rsidRPr="000B3B33" w:rsidRDefault="008978E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3260" w:type="dxa"/>
          </w:tcPr>
          <w:p w14:paraId="6054F9F3" w14:textId="59ACF2AC" w:rsidR="008978E5" w:rsidRPr="000B3B33" w:rsidRDefault="008978E5" w:rsidP="0088040E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Problem Statement (Problem to be solved)</w:t>
            </w:r>
          </w:p>
        </w:tc>
        <w:tc>
          <w:tcPr>
            <w:tcW w:w="5387" w:type="dxa"/>
          </w:tcPr>
          <w:p w14:paraId="3705D225" w14:textId="585DAC96" w:rsidR="008978E5" w:rsidRPr="000B3B33" w:rsidRDefault="00C53B30" w:rsidP="0088040E">
            <w:pPr>
              <w:spacing w:after="160" w:line="276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It is very difficult to make informed decisions, such as setting expectations for match outcomes or placing bets, which could impact the enjoyment and engagement of fans during T20 matches.</w:t>
            </w:r>
            <w:r w:rsidR="004328EE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 It also get</w:t>
            </w:r>
            <w:r w:rsidR="002D17DF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s </w:t>
            </w:r>
            <w:r w:rsidR="004328EE" w:rsidRPr="000B3B33">
              <w:rPr>
                <w:rFonts w:ascii="Times New Roman" w:hAnsi="Times New Roman" w:cs="Times New Roman"/>
                <w:sz w:val="25"/>
                <w:szCs w:val="25"/>
              </w:rPr>
              <w:t>difficult for</w:t>
            </w: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="004328EE" w:rsidRPr="000B3B33">
              <w:rPr>
                <w:rFonts w:ascii="Times New Roman" w:hAnsi="Times New Roman" w:cs="Times New Roman"/>
                <w:sz w:val="25"/>
                <w:szCs w:val="25"/>
              </w:rPr>
              <w:t>c</w:t>
            </w: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ricket analysts </w:t>
            </w:r>
            <w:r w:rsidR="004328EE" w:rsidRPr="000B3B33">
              <w:rPr>
                <w:rFonts w:ascii="Times New Roman" w:hAnsi="Times New Roman" w:cs="Times New Roman"/>
                <w:sz w:val="25"/>
                <w:szCs w:val="25"/>
              </w:rPr>
              <w:t>to</w:t>
            </w: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 asses</w:t>
            </w:r>
            <w:r w:rsidR="004328EE" w:rsidRPr="000B3B33">
              <w:rPr>
                <w:rFonts w:ascii="Times New Roman" w:hAnsi="Times New Roman" w:cs="Times New Roman"/>
                <w:sz w:val="25"/>
                <w:szCs w:val="25"/>
              </w:rPr>
              <w:t>s</w:t>
            </w:r>
            <w:r w:rsidR="00C030F8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 the</w:t>
            </w: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 team performances, </w:t>
            </w:r>
            <w:r w:rsidR="00C030F8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and to predict </w:t>
            </w: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the accurate match analysis. </w:t>
            </w:r>
            <w:r w:rsidR="002D17DF" w:rsidRPr="000B3B33">
              <w:rPr>
                <w:rFonts w:ascii="Times New Roman" w:hAnsi="Times New Roman" w:cs="Times New Roman"/>
                <w:sz w:val="25"/>
                <w:szCs w:val="25"/>
              </w:rPr>
              <w:t>To prevent these problems</w:t>
            </w:r>
            <w:r w:rsidR="002A1038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, </w:t>
            </w:r>
            <w:r w:rsidR="002D17DF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we need a t20 score predictor based on Convolutional Neural Networks. This will help </w:t>
            </w:r>
            <w:r w:rsidR="000A352A" w:rsidRPr="000B3B33">
              <w:rPr>
                <w:rFonts w:ascii="Times New Roman" w:hAnsi="Times New Roman" w:cs="Times New Roman"/>
                <w:sz w:val="25"/>
                <w:szCs w:val="25"/>
              </w:rPr>
              <w:t>in performance analysis, in making match strategies and also to predict the match analysis.</w:t>
            </w:r>
          </w:p>
        </w:tc>
      </w:tr>
      <w:tr w:rsidR="008978E5" w:rsidRPr="000B3B33" w14:paraId="72042A22" w14:textId="77777777" w:rsidTr="002C6D9A">
        <w:trPr>
          <w:trHeight w:val="699"/>
        </w:trPr>
        <w:tc>
          <w:tcPr>
            <w:tcW w:w="846" w:type="dxa"/>
          </w:tcPr>
          <w:p w14:paraId="60CF581C" w14:textId="417441E5" w:rsidR="008978E5" w:rsidRPr="000B3B33" w:rsidRDefault="008978E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3260" w:type="dxa"/>
          </w:tcPr>
          <w:p w14:paraId="0D7420DD" w14:textId="15C70FD9" w:rsidR="008978E5" w:rsidRPr="000B3B33" w:rsidRDefault="008978E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Idea / Solution description</w:t>
            </w:r>
          </w:p>
        </w:tc>
        <w:tc>
          <w:tcPr>
            <w:tcW w:w="5387" w:type="dxa"/>
          </w:tcPr>
          <w:p w14:paraId="3B1D66F9" w14:textId="169E8E6D" w:rsidR="008978E5" w:rsidRPr="000B3B33" w:rsidRDefault="002A1038" w:rsidP="0088040E">
            <w:pPr>
              <w:spacing w:after="160" w:line="276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Develop a T20 score predictor that involves leveraging machine learning and data analysis techniques</w:t>
            </w:r>
            <w:r w:rsidR="000F4214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 like CNN</w:t>
            </w: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 to build a predictive model. The model will be trained on historical cricket match data, including information on team lineups, past performances, pitch conditions, weather, and opposition team statistics.</w:t>
            </w:r>
            <w:r w:rsidR="005263FC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 This model might accurately predict the match scores, also it helps </w:t>
            </w:r>
            <w:r w:rsidR="005263FC" w:rsidRPr="000B3B33">
              <w:rPr>
                <w:rFonts w:ascii="Times New Roman" w:eastAsia="Times New Roman" w:hAnsi="Times New Roman" w:cs="Times New Roman"/>
                <w:color w:val="000000"/>
                <w:kern w:val="0"/>
                <w:sz w:val="25"/>
                <w:szCs w:val="25"/>
                <w:lang w:eastAsia="en-IN"/>
                <w14:ligatures w14:val="none"/>
              </w:rPr>
              <w:t>broadcasters and betting platforms which require accurate score predictions to engage their audience and provide relevant services.</w:t>
            </w:r>
          </w:p>
        </w:tc>
      </w:tr>
      <w:tr w:rsidR="008978E5" w:rsidRPr="000B3B33" w14:paraId="349D8DBD" w14:textId="77777777" w:rsidTr="002C6D9A">
        <w:trPr>
          <w:trHeight w:val="2938"/>
        </w:trPr>
        <w:tc>
          <w:tcPr>
            <w:tcW w:w="846" w:type="dxa"/>
          </w:tcPr>
          <w:p w14:paraId="6B7ABA5F" w14:textId="69D6EC41" w:rsidR="008978E5" w:rsidRPr="000B3B33" w:rsidRDefault="008978E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3.</w:t>
            </w:r>
          </w:p>
        </w:tc>
        <w:tc>
          <w:tcPr>
            <w:tcW w:w="3260" w:type="dxa"/>
          </w:tcPr>
          <w:p w14:paraId="5E4CCA98" w14:textId="555B8D7A" w:rsidR="008978E5" w:rsidRPr="000B3B33" w:rsidRDefault="008978E5" w:rsidP="0088040E">
            <w:pPr>
              <w:spacing w:line="276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Novelty / Uniqueness</w:t>
            </w:r>
          </w:p>
        </w:tc>
        <w:tc>
          <w:tcPr>
            <w:tcW w:w="5387" w:type="dxa"/>
          </w:tcPr>
          <w:p w14:paraId="43051258" w14:textId="4C5DA943" w:rsidR="008978E5" w:rsidRPr="000B3B33" w:rsidRDefault="002E7DEE" w:rsidP="0088040E">
            <w:pPr>
              <w:spacing w:line="276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Use of machine learning and data analysis techniques like CNN ensures accuracy in score prediction, reducing confusions in match and performance analysis. </w:t>
            </w:r>
            <w:r w:rsidR="00BB7126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It ensures cricket analysts to predict the analysis of the matches, also it helps in </w:t>
            </w:r>
            <w:r w:rsidR="00BB7126" w:rsidRPr="000B3B33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 xml:space="preserve">viewing schedules </w:t>
            </w:r>
            <w:r w:rsidR="009E60EF" w:rsidRPr="000B3B33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and</w:t>
            </w:r>
            <w:r w:rsidR="00BB7126" w:rsidRPr="000B3B33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 xml:space="preserve"> mak</w:t>
            </w:r>
            <w:r w:rsidR="009E60EF" w:rsidRPr="000B3B33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ing</w:t>
            </w:r>
            <w:r w:rsidR="00BB7126" w:rsidRPr="000B3B33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 xml:space="preserve"> informed bets</w:t>
            </w:r>
            <w:r w:rsidR="003570AA" w:rsidRPr="000B3B33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.</w:t>
            </w:r>
            <w:r w:rsidR="00E3028E" w:rsidRPr="000B3B33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 xml:space="preserve"> It also helps in engaging the audiences by predicting the scores.</w:t>
            </w:r>
          </w:p>
        </w:tc>
      </w:tr>
      <w:tr w:rsidR="008978E5" w:rsidRPr="000B3B33" w14:paraId="26F8EC41" w14:textId="77777777" w:rsidTr="002C6D9A">
        <w:trPr>
          <w:trHeight w:val="3671"/>
        </w:trPr>
        <w:tc>
          <w:tcPr>
            <w:tcW w:w="846" w:type="dxa"/>
          </w:tcPr>
          <w:p w14:paraId="54128276" w14:textId="3C7C4814" w:rsidR="008978E5" w:rsidRPr="000B3B33" w:rsidRDefault="008978E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4.</w:t>
            </w:r>
          </w:p>
        </w:tc>
        <w:tc>
          <w:tcPr>
            <w:tcW w:w="3260" w:type="dxa"/>
          </w:tcPr>
          <w:p w14:paraId="6523BFC8" w14:textId="256A9507" w:rsidR="008978E5" w:rsidRPr="000B3B33" w:rsidRDefault="008978E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Social Impact / Customer Satisfaction</w:t>
            </w:r>
          </w:p>
        </w:tc>
        <w:tc>
          <w:tcPr>
            <w:tcW w:w="5387" w:type="dxa"/>
          </w:tcPr>
          <w:p w14:paraId="27815079" w14:textId="2532D51A" w:rsidR="008978E5" w:rsidRPr="000B3B33" w:rsidRDefault="00934139" w:rsidP="0088040E">
            <w:pPr>
              <w:spacing w:line="276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I</w:t>
            </w:r>
            <w:r w:rsidR="00540B87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t enhances the overall enjoyment of T20 cricket matches for fans by providing predictive insights, which makes the viewing experience more engaging and informative. </w:t>
            </w:r>
            <w:r w:rsidR="003E0EE9" w:rsidRPr="000B3B33">
              <w:rPr>
                <w:rFonts w:ascii="Times New Roman" w:hAnsi="Times New Roman" w:cs="Times New Roman"/>
                <w:sz w:val="25"/>
                <w:szCs w:val="25"/>
              </w:rPr>
              <w:t>T</w:t>
            </w:r>
            <w:r w:rsidR="00540B87" w:rsidRPr="000B3B33">
              <w:rPr>
                <w:rFonts w:ascii="Times New Roman" w:hAnsi="Times New Roman" w:cs="Times New Roman"/>
                <w:sz w:val="25"/>
                <w:szCs w:val="25"/>
              </w:rPr>
              <w:t>he score predictor aids betting platforms and their users by offering data-driven predictions, this increases customer satisfaction.</w:t>
            </w:r>
            <w:r w:rsidR="003E0EE9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 It also helps to discuss among cricket enthusiasts who can engage in pre-match discussions and post-match analyses based on the predictions.</w:t>
            </w:r>
          </w:p>
        </w:tc>
      </w:tr>
      <w:tr w:rsidR="008978E5" w:rsidRPr="000B3B33" w14:paraId="6870944D" w14:textId="77777777" w:rsidTr="002C6D9A">
        <w:trPr>
          <w:trHeight w:val="4827"/>
        </w:trPr>
        <w:tc>
          <w:tcPr>
            <w:tcW w:w="846" w:type="dxa"/>
          </w:tcPr>
          <w:p w14:paraId="37069017" w14:textId="5A1D2E88" w:rsidR="008978E5" w:rsidRPr="000B3B33" w:rsidRDefault="008978E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5.</w:t>
            </w:r>
          </w:p>
        </w:tc>
        <w:tc>
          <w:tcPr>
            <w:tcW w:w="3260" w:type="dxa"/>
          </w:tcPr>
          <w:p w14:paraId="11D29ED2" w14:textId="17BD7CF3" w:rsidR="008978E5" w:rsidRPr="000B3B33" w:rsidRDefault="008978E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Business Model (Revenue Model)</w:t>
            </w:r>
          </w:p>
        </w:tc>
        <w:tc>
          <w:tcPr>
            <w:tcW w:w="5387" w:type="dxa"/>
          </w:tcPr>
          <w:p w14:paraId="5823974F" w14:textId="74688429" w:rsidR="008978E5" w:rsidRPr="000B3B33" w:rsidRDefault="00903563" w:rsidP="0088040E">
            <w:pPr>
              <w:spacing w:after="160" w:line="276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The business model of a T20 score predictor can be many-sided. It can generate revenue through various channels, including subscription services, advertising, and partnerships.</w:t>
            </w:r>
            <w:r w:rsidR="005160F1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 Partnerships with cricket leagues, teams, and betting platforms can provide exclusive score prediction services in exchange for a share of the revenue from these organizations. </w:t>
            </w:r>
            <w:r w:rsidR="00D56F4D" w:rsidRPr="000B3B33">
              <w:rPr>
                <w:rFonts w:ascii="Times New Roman" w:hAnsi="Times New Roman" w:cs="Times New Roman"/>
                <w:sz w:val="25"/>
                <w:szCs w:val="25"/>
              </w:rPr>
              <w:t>Customized data analytics services for cricket teams and media outlets can further extend the revenue streams.</w:t>
            </w:r>
            <w:r w:rsidR="00A33A27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 Advertising can also be a significant revenue stream, as companies looking to reach cricket enthusiasts can place targeted ads within the platform</w:t>
            </w:r>
            <w:r w:rsidR="0088040E" w:rsidRPr="000B3B33"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8978E5" w:rsidRPr="000B3B33" w14:paraId="6F67E82D" w14:textId="77777777" w:rsidTr="00D43E48">
        <w:trPr>
          <w:trHeight w:val="1113"/>
        </w:trPr>
        <w:tc>
          <w:tcPr>
            <w:tcW w:w="846" w:type="dxa"/>
          </w:tcPr>
          <w:p w14:paraId="7100B33E" w14:textId="22710E3C" w:rsidR="008978E5" w:rsidRPr="000B3B33" w:rsidRDefault="008978E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6.</w:t>
            </w:r>
          </w:p>
        </w:tc>
        <w:tc>
          <w:tcPr>
            <w:tcW w:w="3260" w:type="dxa"/>
          </w:tcPr>
          <w:p w14:paraId="42E94ECE" w14:textId="25907C35" w:rsidR="008978E5" w:rsidRPr="000B3B33" w:rsidRDefault="008978E5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Scala</w:t>
            </w:r>
            <w:r w:rsidR="00F61D7A" w:rsidRPr="000B3B33">
              <w:rPr>
                <w:rFonts w:ascii="Times New Roman" w:hAnsi="Times New Roman" w:cs="Times New Roman"/>
                <w:sz w:val="25"/>
                <w:szCs w:val="25"/>
              </w:rPr>
              <w:t>bility of the Solution</w:t>
            </w:r>
          </w:p>
        </w:tc>
        <w:tc>
          <w:tcPr>
            <w:tcW w:w="5387" w:type="dxa"/>
          </w:tcPr>
          <w:p w14:paraId="0B81034A" w14:textId="495171B3" w:rsidR="008978E5" w:rsidRPr="000B3B33" w:rsidRDefault="005C767A" w:rsidP="0088040E">
            <w:pPr>
              <w:spacing w:after="160" w:line="276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0B3B33">
              <w:rPr>
                <w:rFonts w:ascii="Times New Roman" w:hAnsi="Times New Roman" w:cs="Times New Roman"/>
                <w:sz w:val="25"/>
                <w:szCs w:val="25"/>
              </w:rPr>
              <w:t>For a T20 score predictor t</w:t>
            </w:r>
            <w:r w:rsidR="003A2AAB" w:rsidRPr="000B3B33">
              <w:rPr>
                <w:rFonts w:ascii="Times New Roman" w:hAnsi="Times New Roman" w:cs="Times New Roman"/>
                <w:sz w:val="25"/>
                <w:szCs w:val="25"/>
              </w:rPr>
              <w:t xml:space="preserve">o achieve scalability, the system can be designed with distributed and cloud-based architecture, allowing it to flexibly allocate resources as needed. This would enable it to handle a larger number of users, as well as process and analyse more extensive datasets in real-time. </w:t>
            </w:r>
            <w:r w:rsidR="005C36C8" w:rsidRPr="005C36C8">
              <w:rPr>
                <w:rFonts w:ascii="Times New Roman" w:hAnsi="Times New Roman" w:cs="Times New Roman"/>
                <w:sz w:val="25"/>
                <w:szCs w:val="25"/>
              </w:rPr>
              <w:t xml:space="preserve">The long-term reliability of the T20 score predictor and </w:t>
            </w:r>
            <w:r w:rsidR="005C36C8" w:rsidRPr="005C36C8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fulfilling the requirements of an expanding user base will depend on the infrastructure and software's ability</w:t>
            </w:r>
            <w:r w:rsidR="005C36C8"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</w:tc>
      </w:tr>
    </w:tbl>
    <w:p w14:paraId="20D1194D" w14:textId="77777777" w:rsidR="00C53B30" w:rsidRPr="000B3B33" w:rsidRDefault="00C53B30" w:rsidP="00744185">
      <w:pPr>
        <w:rPr>
          <w:rFonts w:ascii="Times New Roman" w:hAnsi="Times New Roman" w:cs="Times New Roman"/>
          <w:sz w:val="25"/>
          <w:szCs w:val="25"/>
        </w:rPr>
      </w:pPr>
    </w:p>
    <w:sectPr w:rsidR="00C53B30" w:rsidRPr="000B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F6"/>
    <w:rsid w:val="00091C67"/>
    <w:rsid w:val="000A352A"/>
    <w:rsid w:val="000B3B33"/>
    <w:rsid w:val="000F4214"/>
    <w:rsid w:val="001D23F0"/>
    <w:rsid w:val="00267F02"/>
    <w:rsid w:val="00280A58"/>
    <w:rsid w:val="002A1038"/>
    <w:rsid w:val="002C6D9A"/>
    <w:rsid w:val="002D17DF"/>
    <w:rsid w:val="002E7DEE"/>
    <w:rsid w:val="00306DDC"/>
    <w:rsid w:val="00341DB9"/>
    <w:rsid w:val="003570AA"/>
    <w:rsid w:val="003A2AAB"/>
    <w:rsid w:val="003E0EE9"/>
    <w:rsid w:val="004328EE"/>
    <w:rsid w:val="00450983"/>
    <w:rsid w:val="00477025"/>
    <w:rsid w:val="004D3968"/>
    <w:rsid w:val="005160F1"/>
    <w:rsid w:val="005263FC"/>
    <w:rsid w:val="00537DC1"/>
    <w:rsid w:val="00540B87"/>
    <w:rsid w:val="0055092E"/>
    <w:rsid w:val="005B70A3"/>
    <w:rsid w:val="005C36C8"/>
    <w:rsid w:val="005C767A"/>
    <w:rsid w:val="005F2A3D"/>
    <w:rsid w:val="00740EF6"/>
    <w:rsid w:val="00744185"/>
    <w:rsid w:val="00793E8E"/>
    <w:rsid w:val="007E50EC"/>
    <w:rsid w:val="00815861"/>
    <w:rsid w:val="0088040E"/>
    <w:rsid w:val="00895E0F"/>
    <w:rsid w:val="008978E5"/>
    <w:rsid w:val="008A71F4"/>
    <w:rsid w:val="00903563"/>
    <w:rsid w:val="00934139"/>
    <w:rsid w:val="009C144F"/>
    <w:rsid w:val="009E60EF"/>
    <w:rsid w:val="009F0F45"/>
    <w:rsid w:val="00A33A27"/>
    <w:rsid w:val="00A776C6"/>
    <w:rsid w:val="00BB7126"/>
    <w:rsid w:val="00C030F8"/>
    <w:rsid w:val="00C53B30"/>
    <w:rsid w:val="00C60BC4"/>
    <w:rsid w:val="00D43E48"/>
    <w:rsid w:val="00D56F4D"/>
    <w:rsid w:val="00DF004B"/>
    <w:rsid w:val="00DF3875"/>
    <w:rsid w:val="00E3028E"/>
    <w:rsid w:val="00E67BD5"/>
    <w:rsid w:val="00EE2E61"/>
    <w:rsid w:val="00F61D7A"/>
    <w:rsid w:val="00F66AAD"/>
    <w:rsid w:val="00F7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8DAE"/>
  <w15:chartTrackingRefBased/>
  <w15:docId w15:val="{79E0991E-7671-4DCB-8099-27B4A156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7C208-E034-426E-B710-8E3C8780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kambhamharini@gmail.com</dc:creator>
  <cp:keywords/>
  <dc:description/>
  <cp:lastModifiedBy>kambhamharini@gmail.com</cp:lastModifiedBy>
  <cp:revision>54</cp:revision>
  <dcterms:created xsi:type="dcterms:W3CDTF">2023-11-02T09:38:00Z</dcterms:created>
  <dcterms:modified xsi:type="dcterms:W3CDTF">2023-11-02T11:34:00Z</dcterms:modified>
</cp:coreProperties>
</file>