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19"/>
        </w:rPr>
      </w:pPr>
    </w:p>
    <w:p>
      <w:pPr>
        <w:pStyle w:val="7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tbl>
      <w:tblPr>
        <w:tblStyle w:val="4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20" w:type="dxa"/>
          </w:tcPr>
          <w:p>
            <w:pPr>
              <w:pStyle w:val="10"/>
              <w:spacing w:before="73"/>
              <w:ind w:left="23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10"/>
              <w:spacing w:before="73"/>
              <w:ind w:left="219"/>
              <w:rPr>
                <w:sz w:val="22"/>
              </w:rPr>
            </w:pPr>
            <w:r>
              <w:rPr>
                <w:rFonts w:hint="default"/>
                <w:sz w:val="22"/>
              </w:rPr>
              <w:t>17 November 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520" w:type="dxa"/>
          </w:tcPr>
          <w:p>
            <w:pPr>
              <w:pStyle w:val="10"/>
              <w:spacing w:before="68"/>
              <w:ind w:left="22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10"/>
              <w:spacing w:before="53"/>
              <w:ind w:left="23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Team-</w:t>
            </w:r>
            <w:r>
              <w:rPr>
                <w:rFonts w:hint="default" w:ascii="Verdana"/>
                <w:color w:val="212121"/>
                <w:sz w:val="20"/>
              </w:rPr>
              <w:t>591754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4520" w:type="dxa"/>
          </w:tcPr>
          <w:p>
            <w:pPr>
              <w:pStyle w:val="10"/>
              <w:spacing w:before="63"/>
              <w:ind w:left="23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10"/>
              <w:spacing w:before="63" w:line="256" w:lineRule="auto"/>
              <w:ind w:left="234" w:right="691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Predicting Mental Health Illness of Working Professionals</w:t>
            </w:r>
          </w:p>
          <w:p>
            <w:pPr>
              <w:pStyle w:val="10"/>
              <w:spacing w:before="63" w:line="256" w:lineRule="auto"/>
              <w:ind w:left="234" w:right="691"/>
              <w:rPr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520" w:type="dxa"/>
          </w:tcPr>
          <w:p>
            <w:pPr>
              <w:pStyle w:val="10"/>
              <w:spacing w:before="68"/>
              <w:ind w:left="23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10"/>
              <w:spacing w:before="68"/>
              <w:ind w:left="219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11"/>
        <w:rPr>
          <w:rFonts w:ascii="Arial"/>
          <w:b/>
        </w:rPr>
      </w:pPr>
    </w:p>
    <w:p>
      <w:pPr>
        <w:pStyle w:val="2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>
      <w:pPr>
        <w:pStyle w:val="5"/>
        <w:spacing w:before="191"/>
        <w:ind w:left="24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Deliverable 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architectural diagram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below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the 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 table</w:t>
      </w: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4"/>
        </w:rPr>
      </w:pPr>
    </w:p>
    <w:p>
      <w:pPr>
        <w:spacing w:before="8" w:line="240" w:lineRule="auto"/>
        <w:rPr>
          <w:rFonts w:hint="default" w:cs="Arial Black" w:asciiTheme="majorAscii" w:hAnsiTheme="majorAscii"/>
          <w:sz w:val="28"/>
          <w:szCs w:val="28"/>
        </w:rPr>
      </w:pPr>
    </w:p>
    <w:p>
      <w:pPr>
        <w:pStyle w:val="5"/>
        <w:ind w:left="240"/>
        <w:rPr>
          <w:rFonts w:hint="default" w:cs="Arial Black" w:asciiTheme="majorAscii" w:hAnsiTheme="majorAscii"/>
          <w:sz w:val="28"/>
          <w:szCs w:val="28"/>
        </w:rPr>
      </w:pPr>
      <w:r>
        <w:rPr>
          <w:rFonts w:hint="default" w:cs="Arial Black" w:asciiTheme="majorAscii" w:hAnsiTheme="majorAscii"/>
          <w:sz w:val="28"/>
          <w:szCs w:val="28"/>
        </w:rPr>
        <w:t>Guidelines:</w:t>
      </w:r>
    </w:p>
    <w:p>
      <w:pPr>
        <w:pStyle w:val="9"/>
        <w:numPr>
          <w:ilvl w:val="0"/>
          <w:numId w:val="1"/>
        </w:numPr>
        <w:tabs>
          <w:tab w:val="left" w:pos="458"/>
        </w:tabs>
        <w:spacing w:before="23" w:after="0" w:line="240" w:lineRule="auto"/>
        <w:ind w:leftChars="0" w:right="0" w:rightChars="0"/>
        <w:jc w:val="left"/>
        <w:rPr>
          <w:sz w:val="22"/>
        </w:rPr>
      </w:pPr>
      <w:r>
        <w:rPr>
          <w:rFonts w:hint="default" w:asciiTheme="majorAscii" w:hAnsiTheme="majorAscii"/>
          <w:b/>
          <w:bCs/>
          <w:color w:val="262626" w:themeColor="text1" w:themeTint="D9"/>
          <w:sz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Ethical Data Handling</w:t>
      </w:r>
      <w:r>
        <w:rPr>
          <w:rFonts w:hint="default" w:asciiTheme="majorAscii" w:hAnsiTheme="majorAscii"/>
          <w:color w:val="262626" w:themeColor="text1" w:themeTint="D9"/>
          <w:sz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default" w:asciiTheme="majorAscii" w:hAnsiTheme="majorAscii"/>
          <w:sz w:val="22"/>
        </w:rPr>
        <w:t xml:space="preserve"> </w:t>
      </w:r>
      <w:r>
        <w:rPr>
          <w:rFonts w:hint="default"/>
          <w:sz w:val="22"/>
        </w:rPr>
        <w:t>Prioritize privacy and ethical considerations, obtaining informed consent and anonymizing data to protect participants.</w:t>
      </w:r>
    </w:p>
    <w:p>
      <w:pPr>
        <w:pStyle w:val="5"/>
        <w:spacing w:before="1"/>
        <w:ind w:left="660" w:hanging="660" w:hangingChars="300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</w:pPr>
      <w:r>
        <w:rPr>
          <w:rStyle w:val="6"/>
          <w:rFonts w:hint="default" w:ascii="Cambria" w:hAnsi="Cambria" w:eastAsia="Segoe UI" w:cs="Cambria"/>
          <w:b/>
          <w:bCs/>
          <w:i w:val="0"/>
          <w:iCs w:val="0"/>
          <w:caps w:val="0"/>
          <w:spacing w:val="0"/>
          <w:sz w:val="22"/>
          <w:szCs w:val="22"/>
          <w:bdr w:val="single" w:color="D9D9E3" w:sz="2" w:space="0"/>
          <w:lang w:val="en-US"/>
        </w:rPr>
        <w:t xml:space="preserve">     2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2"/>
          <w:szCs w:val="22"/>
          <w:bdr w:val="single" w:color="D9D9E3" w:sz="2" w:space="0"/>
          <w:lang w:val="en-US"/>
        </w:rPr>
        <w:t>.</w:t>
      </w:r>
      <w:r>
        <w:rPr>
          <w:rStyle w:val="6"/>
          <w:rFonts w:hint="default" w:eastAsia="Segoe UI" w:cs="Segoe UI" w:asciiTheme="majorAscii" w:hAnsiTheme="majorAscii"/>
          <w:b/>
          <w:bCs/>
          <w:i w:val="0"/>
          <w:iCs w:val="0"/>
          <w:caps w:val="0"/>
          <w:spacing w:val="0"/>
          <w:sz w:val="22"/>
          <w:szCs w:val="22"/>
          <w:bdr w:val="single" w:color="D9D9E3" w:sz="2" w:space="0"/>
        </w:rPr>
        <w:t>Holistic Data Collection: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6"/>
          <w:szCs w:val="16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</w:rPr>
        <w:t>Gather diverse data, including work-related and personal factors, employing surveys and objective metrics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</w:rPr>
        <w:t>comprehensively assess contributors to mental health.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 xml:space="preserve">   </w:t>
      </w:r>
    </w:p>
    <w:p>
      <w:pPr>
        <w:pStyle w:val="5"/>
        <w:spacing w:before="1"/>
        <w:ind w:left="770" w:leftChars="100" w:hanging="550" w:hangingChars="250"/>
        <w:rPr>
          <w:rFonts w:hint="default" w:ascii="Segoe UI" w:hAnsi="Segoe UI" w:eastAsia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3.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Appropriate Modeling</w:t>
      </w:r>
      <w:r>
        <w:rPr>
          <w:rFonts w:hint="default" w:ascii="Segoe UI" w:hAnsi="Segoe UI" w:eastAsia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: Choose suitable machine learning models and emphasize feature selection to ensure accurate predictions, considering  decision trees, support vector machines, or neural networks.</w:t>
      </w:r>
    </w:p>
    <w:p>
      <w:pPr>
        <w:pStyle w:val="5"/>
        <w:spacing w:before="1"/>
        <w:ind w:left="770" w:leftChars="100" w:hanging="550" w:hangingChars="250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4.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Validation and Interpretability</w:t>
      </w:r>
      <w:r>
        <w:rPr>
          <w:rFonts w:hint="default" w:ascii="Segoe UI" w:hAnsi="Segoe UI" w:eastAsia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: Use robust validation techniques, like cross-validation, and prioritize model interpretability to ensure generalizability and actionable insights.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 xml:space="preserve">      </w:t>
      </w:r>
    </w:p>
    <w:p>
      <w:pPr>
        <w:pStyle w:val="5"/>
        <w:spacing w:before="1"/>
        <w:ind w:left="770" w:leftChars="100" w:hanging="550" w:hangingChars="250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5.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Collaboration with Experts</w:t>
      </w:r>
      <w:r>
        <w:rPr>
          <w:rFonts w:hint="default" w:ascii="Segoe UI" w:hAnsi="Segoe UI" w:eastAsia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>: Collaborate with mental health professionals to validate the approach, refine the model, and establish responsible usage guidelines aligned with ethical considerations.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  <w:t xml:space="preserve">                                                                                                            .</w:t>
      </w:r>
    </w:p>
    <w:p>
      <w:pPr>
        <w:pStyle w:val="5"/>
        <w:spacing w:before="1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22"/>
          <w:szCs w:val="22"/>
          <w:lang w:val="en-US"/>
        </w:rPr>
      </w:pPr>
    </w:p>
    <w:p>
      <w:pPr>
        <w:pStyle w:val="5"/>
        <w:ind w:left="270"/>
        <w:rPr>
          <w:sz w:val="22"/>
          <w:szCs w:val="22"/>
        </w:rPr>
      </w:pPr>
    </w:p>
    <w:p>
      <w:pPr>
        <w:spacing w:after="0"/>
        <w:rPr>
          <w:sz w:val="20"/>
        </w:rPr>
        <w:sectPr>
          <w:pgSz w:w="16840" w:h="11920" w:orient="landscape"/>
          <w:pgMar w:top="1120" w:right="1060" w:bottom="280" w:left="1200" w:header="720" w:footer="720" w:gutter="0"/>
          <w:cols w:space="720" w:num="1"/>
        </w:sectPr>
      </w:pPr>
      <w:bookmarkStart w:id="0" w:name="_GoBack"/>
      <w:bookmarkEnd w:id="0"/>
      <w:r>
        <w:drawing>
          <wp:inline distT="0" distB="0" distL="114300" distR="114300">
            <wp:extent cx="9613900" cy="4634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</w:pPr>
    </w:p>
    <w:p>
      <w:pPr>
        <w:pStyle w:val="2"/>
        <w:spacing w:before="94"/>
      </w:pPr>
      <w:r>
        <w:t>Table-1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4000"/>
        <w:gridCol w:w="5220"/>
        <w:gridCol w:w="41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60" w:type="dxa"/>
          </w:tcPr>
          <w:p>
            <w:pPr>
              <w:pStyle w:val="10"/>
              <w:spacing w:before="112"/>
              <w:ind w:left="191" w:right="1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0" w:type="dxa"/>
          </w:tcPr>
          <w:p>
            <w:pPr>
              <w:pStyle w:val="10"/>
              <w:spacing w:before="112"/>
              <w:ind w:left="2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10"/>
              <w:spacing w:before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10"/>
              <w:spacing w:before="112"/>
              <w:ind w:left="2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960" w:type="dxa"/>
          </w:tcPr>
          <w:p>
            <w:pPr>
              <w:pStyle w:val="10"/>
              <w:ind w:left="191" w:right="136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0" w:type="dxa"/>
          </w:tcPr>
          <w:p>
            <w:pPr>
              <w:pStyle w:val="10"/>
              <w:ind w:left="22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20" w:type="dxa"/>
          </w:tcPr>
          <w:p>
            <w:pPr>
              <w:pStyle w:val="10"/>
              <w:spacing w:line="256" w:lineRule="auto"/>
              <w:ind w:left="215" w:right="1601" w:firstLine="15"/>
              <w:rPr>
                <w:sz w:val="22"/>
              </w:rPr>
            </w:pPr>
            <w:r>
              <w:rPr>
                <w:sz w:val="22"/>
              </w:rPr>
              <w:t>user interacts with application with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</w:p>
        </w:tc>
        <w:tc>
          <w:tcPr>
            <w:tcW w:w="4140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,Flask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60" w:type="dxa"/>
          </w:tcPr>
          <w:p>
            <w:pPr>
              <w:pStyle w:val="10"/>
              <w:spacing w:before="102"/>
              <w:ind w:left="191" w:right="136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0" w:type="dxa"/>
          </w:tcPr>
          <w:p>
            <w:pPr>
              <w:pStyle w:val="10"/>
              <w:spacing w:before="102"/>
              <w:ind w:left="21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20" w:type="dxa"/>
          </w:tcPr>
          <w:p>
            <w:pPr>
              <w:pStyle w:val="10"/>
              <w:spacing w:before="102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 a process in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40" w:type="dxa"/>
          </w:tcPr>
          <w:p>
            <w:pPr>
              <w:pStyle w:val="10"/>
              <w:spacing w:before="102"/>
              <w:ind w:left="215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</w:tcPr>
          <w:p>
            <w:pPr>
              <w:pStyle w:val="10"/>
              <w:ind w:left="191" w:right="136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0" w:type="dxa"/>
          </w:tcPr>
          <w:p>
            <w:pPr>
              <w:pStyle w:val="10"/>
              <w:ind w:left="225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20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40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60" w:type="dxa"/>
          </w:tcPr>
          <w:p>
            <w:pPr>
              <w:pStyle w:val="10"/>
              <w:spacing w:before="107"/>
              <w:ind w:left="191" w:right="136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0" w:type="dxa"/>
          </w:tcPr>
          <w:p>
            <w:pPr>
              <w:pStyle w:val="10"/>
              <w:spacing w:before="107"/>
              <w:ind w:left="22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20" w:type="dxa"/>
          </w:tcPr>
          <w:p>
            <w:pPr>
              <w:pStyle w:val="10"/>
              <w:spacing w:before="107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4140" w:type="dxa"/>
          </w:tcPr>
          <w:p>
            <w:pPr>
              <w:pStyle w:val="10"/>
              <w:spacing w:before="107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Filesystem &amp; Storage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60" w:type="dxa"/>
          </w:tcPr>
          <w:p>
            <w:pPr>
              <w:pStyle w:val="10"/>
              <w:spacing w:before="112"/>
              <w:ind w:left="191" w:right="142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0" w:type="dxa"/>
          </w:tcPr>
          <w:p>
            <w:pPr>
              <w:pStyle w:val="10"/>
              <w:spacing w:before="112"/>
              <w:ind w:left="225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220" w:type="dxa"/>
          </w:tcPr>
          <w:p>
            <w:pPr>
              <w:pStyle w:val="10"/>
              <w:spacing w:before="112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4140" w:type="dxa"/>
          </w:tcPr>
          <w:p>
            <w:pPr>
              <w:pStyle w:val="10"/>
              <w:spacing w:before="112"/>
              <w:ind w:left="215"/>
              <w:rPr>
                <w:sz w:val="22"/>
              </w:rPr>
            </w:pPr>
            <w:r>
              <w:rPr>
                <w:sz w:val="22"/>
              </w:rPr>
              <w:t>Predictive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Model, etc.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60" w:type="dxa"/>
          </w:tcPr>
          <w:p>
            <w:pPr>
              <w:pStyle w:val="10"/>
              <w:spacing w:before="102"/>
              <w:ind w:left="191" w:right="142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0" w:type="dxa"/>
          </w:tcPr>
          <w:p>
            <w:pPr>
              <w:pStyle w:val="10"/>
              <w:spacing w:before="102"/>
              <w:ind w:left="22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(Server / Cloud)</w:t>
            </w:r>
          </w:p>
        </w:tc>
        <w:tc>
          <w:tcPr>
            <w:tcW w:w="5220" w:type="dxa"/>
          </w:tcPr>
          <w:p>
            <w:pPr>
              <w:pStyle w:val="10"/>
              <w:spacing w:before="102" w:line="256" w:lineRule="auto"/>
              <w:ind w:right="956" w:hanging="15"/>
              <w:rPr>
                <w:sz w:val="22"/>
              </w:rPr>
            </w:pPr>
            <w:r>
              <w:rPr>
                <w:sz w:val="22"/>
              </w:rPr>
              <w:t>Application Deployment on Local System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Configuration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4140" w:type="dxa"/>
          </w:tcPr>
          <w:p>
            <w:pPr>
              <w:pStyle w:val="10"/>
              <w:spacing w:before="102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</w:tr>
    </w:tbl>
    <w:p/>
    <w:sectPr>
      <w:pgSz w:w="16840" w:h="11920" w:orient="landscape"/>
      <w:pgMar w:top="1120" w:right="10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187D"/>
    <w:multiLevelType w:val="singleLevel"/>
    <w:tmpl w:val="C76318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E095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93"/>
      <w:ind w:left="5236" w:right="4715" w:firstLine="96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3"/>
      <w:ind w:left="457" w:hanging="218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7"/>
      <w:ind w:left="23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2023-11-22T14:45:00Z</dcterms:created>
  <dc:creator>HP</dc:creator>
  <cp:lastModifiedBy>HP</cp:lastModifiedBy>
  <dcterms:modified xsi:type="dcterms:W3CDTF">2023-11-22T15:19:48Z</dcterms:modified>
  <dc:title>Technology Stack -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A4171D61630B4B499815D74E531A1988</vt:lpwstr>
  </property>
</Properties>
</file>