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737B" w14:textId="09DEC690" w:rsidR="00FF35C1" w:rsidRPr="00043618" w:rsidRDefault="00043618" w:rsidP="00043618">
      <w:pPr>
        <w:jc w:val="center"/>
        <w:rPr>
          <w:rFonts w:ascii="Times New Roman" w:hAnsi="Times New Roman" w:cs="Times New Roman"/>
          <w:b/>
          <w:bCs/>
        </w:rPr>
      </w:pPr>
      <w:r w:rsidRPr="00043618">
        <w:rPr>
          <w:rFonts w:ascii="Times New Roman" w:hAnsi="Times New Roman" w:cs="Times New Roman"/>
          <w:b/>
          <w:bCs/>
        </w:rPr>
        <w:t>Visualizing Sustainability: A Cognos-based Analysis of Global Trends (2000-2023)</w:t>
      </w:r>
    </w:p>
    <w:p w14:paraId="5E2D75B6" w14:textId="33837C2B" w:rsidR="00043618" w:rsidRPr="00043618" w:rsidRDefault="00043618" w:rsidP="00043618">
      <w:pPr>
        <w:jc w:val="center"/>
        <w:rPr>
          <w:rFonts w:ascii="Times New Roman" w:hAnsi="Times New Roman" w:cs="Times New Roman"/>
          <w:b/>
          <w:bCs/>
        </w:rPr>
      </w:pPr>
    </w:p>
    <w:p w14:paraId="3B53642A" w14:textId="563F5B5B" w:rsidR="000D0302" w:rsidRDefault="000D0302" w:rsidP="000D0302">
      <w:pPr>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50041ADA" wp14:editId="5E19EA6D">
                <wp:simplePos x="0" y="0"/>
                <wp:positionH relativeFrom="column">
                  <wp:posOffset>-48895</wp:posOffset>
                </wp:positionH>
                <wp:positionV relativeFrom="paragraph">
                  <wp:posOffset>47988</wp:posOffset>
                </wp:positionV>
                <wp:extent cx="2618014" cy="326571"/>
                <wp:effectExtent l="0" t="0" r="11430" b="16510"/>
                <wp:wrapNone/>
                <wp:docPr id="1831775589" name="Rectangle: Rounded Corners 1"/>
                <wp:cNvGraphicFramePr/>
                <a:graphic xmlns:a="http://schemas.openxmlformats.org/drawingml/2006/main">
                  <a:graphicData uri="http://schemas.microsoft.com/office/word/2010/wordprocessingShape">
                    <wps:wsp>
                      <wps:cNvSpPr/>
                      <wps:spPr>
                        <a:xfrm>
                          <a:off x="0" y="0"/>
                          <a:ext cx="2618014" cy="32657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DE0D54C" w14:textId="57A094D0" w:rsidR="000D0302" w:rsidRPr="000D0302" w:rsidRDefault="000D0302" w:rsidP="000D0302">
                            <w:pPr>
                              <w:rPr>
                                <w:rFonts w:ascii="Times New Roman" w:hAnsi="Times New Roman" w:cs="Times New Roman"/>
                                <w:b/>
                                <w:bCs/>
                              </w:rPr>
                            </w:pPr>
                            <w:r w:rsidRPr="000D0302">
                              <w:rPr>
                                <w:rFonts w:ascii="Times New Roman" w:hAnsi="Times New Roman" w:cs="Times New Roman"/>
                                <w:b/>
                                <w:bCs/>
                              </w:rPr>
                              <w:t>Define Problem Understanding</w:t>
                            </w:r>
                          </w:p>
                          <w:p w14:paraId="2C410EAF" w14:textId="77777777" w:rsidR="000D0302" w:rsidRDefault="000D0302" w:rsidP="000D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041ADA" id="Rectangle: Rounded Corners 1" o:spid="_x0000_s1026" style="position:absolute;margin-left:-3.85pt;margin-top:3.8pt;width:206.15pt;height:25.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" fillcolor="#82a0d7 [2164]" strokecolor="#4472c4 [3204]" strokeweight=".5pt">
                <v:fill color2="#678ccf [2612]" rotate="t" colors="0 #a8b7df;.5 #9aabd9;1 #879ed7" focus="100%" type="gradient">
                  <o:fill v:ext="view" type="gradientUnscaled"/>
                </v:fill>
                <v:stroke joinstyle="miter"/>
                <v:textbox>
                  <w:txbxContent>
                    <w:p w14:paraId="7DE0D54C" w14:textId="57A094D0" w:rsidR="000D0302" w:rsidRPr="000D0302" w:rsidRDefault="000D0302" w:rsidP="000D0302">
                      <w:pPr>
                        <w:rPr>
                          <w:rFonts w:ascii="Times New Roman" w:hAnsi="Times New Roman" w:cs="Times New Roman"/>
                          <w:b/>
                          <w:bCs/>
                        </w:rPr>
                      </w:pPr>
                      <w:r w:rsidRPr="000D0302">
                        <w:rPr>
                          <w:rFonts w:ascii="Times New Roman" w:hAnsi="Times New Roman" w:cs="Times New Roman"/>
                          <w:b/>
                          <w:bCs/>
                        </w:rPr>
                        <w:t>Define Problem Understanding</w:t>
                      </w:r>
                    </w:p>
                    <w:p w14:paraId="2C410EAF" w14:textId="77777777" w:rsidR="000D0302" w:rsidRDefault="000D0302" w:rsidP="000D0302">
                      <w:pPr>
                        <w:jc w:val="center"/>
                      </w:pPr>
                    </w:p>
                  </w:txbxContent>
                </v:textbox>
              </v:roundrect>
            </w:pict>
          </mc:Fallback>
        </mc:AlternateContent>
      </w:r>
    </w:p>
    <w:p w14:paraId="354B0FB9" w14:textId="77777777" w:rsidR="000D0302" w:rsidRDefault="000D0302" w:rsidP="000D0302">
      <w:pPr>
        <w:rPr>
          <w:rFonts w:ascii="Times New Roman" w:hAnsi="Times New Roman" w:cs="Times New Roman"/>
        </w:rPr>
      </w:pPr>
    </w:p>
    <w:p w14:paraId="2A8C4B8C" w14:textId="1BA70EE4" w:rsidR="00043618" w:rsidRPr="000D0302" w:rsidRDefault="00043618" w:rsidP="000D0302">
      <w:pPr>
        <w:rPr>
          <w:rFonts w:ascii="Times New Roman" w:hAnsi="Times New Roman" w:cs="Times New Roman"/>
          <w:b/>
          <w:bCs/>
        </w:rPr>
      </w:pPr>
      <w:r w:rsidRPr="000D0302">
        <w:rPr>
          <w:rFonts w:ascii="Times New Roman" w:hAnsi="Times New Roman" w:cs="Times New Roman"/>
          <w:b/>
          <w:bCs/>
        </w:rPr>
        <w:t>Specify The Business Problem</w:t>
      </w:r>
    </w:p>
    <w:p w14:paraId="70DFA2B3" w14:textId="4679D8D6" w:rsidR="00043618" w:rsidRPr="00043618" w:rsidRDefault="00043618" w:rsidP="000D0302">
      <w:pPr>
        <w:rPr>
          <w:rFonts w:ascii="Times New Roman" w:hAnsi="Times New Roman" w:cs="Times New Roman"/>
        </w:rPr>
      </w:pPr>
      <w:r w:rsidRPr="00043618">
        <w:rPr>
          <w:rFonts w:ascii="Times New Roman" w:hAnsi="Times New Roman" w:cs="Times New Roman"/>
        </w:rPr>
        <w:t xml:space="preserve">Organizations, governments, and stakeholders involved in development finance face a critical challenge in scaling up financial resources and reshaping the global financial architecture to align with and adequately support the achievement of the Sustainable Development Goals (SDGs). This encompasses issues related to the mobilization of funds, reforming financial institutions, ensuring sustainable debt management, and integrating data analytics for impactful decision-making and monitoring of progress. </w:t>
      </w:r>
    </w:p>
    <w:p w14:paraId="633AF62D" w14:textId="77777777" w:rsidR="00043618" w:rsidRPr="000D0302" w:rsidRDefault="00043618" w:rsidP="00043618">
      <w:pPr>
        <w:rPr>
          <w:rFonts w:ascii="Times New Roman" w:hAnsi="Times New Roman" w:cs="Times New Roman"/>
          <w:b/>
          <w:bCs/>
        </w:rPr>
      </w:pPr>
      <w:r w:rsidRPr="000D0302">
        <w:rPr>
          <w:rFonts w:ascii="Times New Roman" w:hAnsi="Times New Roman" w:cs="Times New Roman"/>
          <w:b/>
          <w:bCs/>
        </w:rPr>
        <w:t>Business Requirements</w:t>
      </w:r>
    </w:p>
    <w:p w14:paraId="4EAB87BD" w14:textId="1AC8DE60" w:rsidR="00043618" w:rsidRDefault="00043618" w:rsidP="00043618">
      <w:pPr>
        <w:rPr>
          <w:rFonts w:ascii="Times New Roman" w:hAnsi="Times New Roman" w:cs="Times New Roman"/>
        </w:rPr>
      </w:pPr>
      <w:r w:rsidRPr="00043618">
        <w:rPr>
          <w:rFonts w:ascii="Times New Roman" w:hAnsi="Times New Roman" w:cs="Times New Roman"/>
        </w:rPr>
        <w:t>Millions of people globally lack access to basic necessities like clean water, sanitation, healthcare, and education, hindering progress towards the Sustainable Development Goals (SDGs). Traditional development finance mechanisms are inadequate to fulfill the massive financial needs, requiring a significant scale-up and a re</w:t>
      </w:r>
      <w:r>
        <w:rPr>
          <w:rFonts w:ascii="Times New Roman" w:hAnsi="Times New Roman" w:cs="Times New Roman"/>
        </w:rPr>
        <w:t>-</w:t>
      </w:r>
      <w:r w:rsidRPr="00043618">
        <w:rPr>
          <w:rFonts w:ascii="Times New Roman" w:hAnsi="Times New Roman" w:cs="Times New Roman"/>
        </w:rPr>
        <w:t>evaluation of the global financial architecture.</w:t>
      </w:r>
    </w:p>
    <w:p w14:paraId="1B21408F" w14:textId="77777777" w:rsidR="000D0302" w:rsidRPr="000D0302" w:rsidRDefault="000D0302" w:rsidP="000D0302">
      <w:pPr>
        <w:pStyle w:val="ListParagraph"/>
        <w:numPr>
          <w:ilvl w:val="0"/>
          <w:numId w:val="2"/>
        </w:numPr>
        <w:rPr>
          <w:rFonts w:ascii="Times New Roman" w:hAnsi="Times New Roman" w:cs="Times New Roman"/>
        </w:rPr>
      </w:pPr>
      <w:r w:rsidRPr="000D0302">
        <w:rPr>
          <w:rFonts w:ascii="Times New Roman" w:hAnsi="Times New Roman" w:cs="Times New Roman"/>
        </w:rPr>
        <w:t>Data Sources: Utilize diverse data sources like financial transactions, government budgets, development indicators, and socio-economic surveys.</w:t>
      </w:r>
    </w:p>
    <w:p w14:paraId="65B65DE7" w14:textId="77777777" w:rsidR="000D0302" w:rsidRPr="000D0302" w:rsidRDefault="000D0302" w:rsidP="000D0302">
      <w:pPr>
        <w:pStyle w:val="ListParagraph"/>
        <w:numPr>
          <w:ilvl w:val="0"/>
          <w:numId w:val="2"/>
        </w:numPr>
        <w:rPr>
          <w:rFonts w:ascii="Times New Roman" w:hAnsi="Times New Roman" w:cs="Times New Roman"/>
        </w:rPr>
      </w:pPr>
      <w:r w:rsidRPr="000D0302">
        <w:rPr>
          <w:rFonts w:ascii="Times New Roman" w:hAnsi="Times New Roman" w:cs="Times New Roman"/>
        </w:rPr>
        <w:t>Data Preprocessing: Clean, integrate, and normalize data to ensure consistency and quality for analysis.</w:t>
      </w:r>
    </w:p>
    <w:p w14:paraId="203D4A5A" w14:textId="77777777" w:rsidR="000D0302" w:rsidRPr="000D0302" w:rsidRDefault="000D0302" w:rsidP="000D0302">
      <w:pPr>
        <w:pStyle w:val="ListParagraph"/>
        <w:numPr>
          <w:ilvl w:val="0"/>
          <w:numId w:val="2"/>
        </w:numPr>
        <w:rPr>
          <w:rFonts w:ascii="Times New Roman" w:hAnsi="Times New Roman" w:cs="Times New Roman"/>
        </w:rPr>
      </w:pPr>
      <w:r w:rsidRPr="000D0302">
        <w:rPr>
          <w:rFonts w:ascii="Times New Roman" w:hAnsi="Times New Roman" w:cs="Times New Roman"/>
        </w:rPr>
        <w:t>Predictive Modeling: Develop models to forecast financial needs for achieving SDGs in different regions and contexts.</w:t>
      </w:r>
    </w:p>
    <w:p w14:paraId="6A5A1398" w14:textId="77777777" w:rsidR="000D0302" w:rsidRPr="000D0302" w:rsidRDefault="000D0302" w:rsidP="000D0302">
      <w:pPr>
        <w:pStyle w:val="ListParagraph"/>
        <w:numPr>
          <w:ilvl w:val="0"/>
          <w:numId w:val="2"/>
        </w:numPr>
        <w:rPr>
          <w:rFonts w:ascii="Times New Roman" w:hAnsi="Times New Roman" w:cs="Times New Roman"/>
        </w:rPr>
      </w:pPr>
      <w:r w:rsidRPr="000D0302">
        <w:rPr>
          <w:rFonts w:ascii="Times New Roman" w:hAnsi="Times New Roman" w:cs="Times New Roman"/>
        </w:rPr>
        <w:t>Scenario Analysis: Simulate the impact of various interventions like increased public and private investment, financial innovation, and policy reforms on SDG progress.</w:t>
      </w:r>
    </w:p>
    <w:p w14:paraId="18A6EF39" w14:textId="1CAE9134" w:rsidR="000D0302" w:rsidRPr="000D0302" w:rsidRDefault="000D0302" w:rsidP="000D0302">
      <w:pPr>
        <w:pStyle w:val="ListParagraph"/>
        <w:numPr>
          <w:ilvl w:val="0"/>
          <w:numId w:val="2"/>
        </w:numPr>
        <w:rPr>
          <w:rFonts w:ascii="Times New Roman" w:hAnsi="Times New Roman" w:cs="Times New Roman"/>
        </w:rPr>
      </w:pPr>
      <w:r w:rsidRPr="000D0302">
        <w:rPr>
          <w:rFonts w:ascii="Times New Roman" w:hAnsi="Times New Roman" w:cs="Times New Roman"/>
        </w:rPr>
        <w:t>Visualization and Communication: Present insights and recommendations through clear and impactful dashboards and reports.</w:t>
      </w:r>
    </w:p>
    <w:p w14:paraId="6802FEA7" w14:textId="77777777" w:rsidR="00043618" w:rsidRPr="00D90891" w:rsidRDefault="00043618" w:rsidP="00043618">
      <w:pPr>
        <w:rPr>
          <w:rFonts w:ascii="Times New Roman" w:hAnsi="Times New Roman" w:cs="Times New Roman"/>
          <w:b/>
          <w:bCs/>
        </w:rPr>
      </w:pPr>
      <w:r w:rsidRPr="00D90891">
        <w:rPr>
          <w:rFonts w:ascii="Times New Roman" w:hAnsi="Times New Roman" w:cs="Times New Roman"/>
          <w:b/>
          <w:bCs/>
        </w:rPr>
        <w:t>Literature Survey</w:t>
      </w:r>
    </w:p>
    <w:p w14:paraId="7A6E0519" w14:textId="77777777" w:rsidR="00D90891" w:rsidRPr="00D90891" w:rsidRDefault="00D90891" w:rsidP="00D90891">
      <w:pPr>
        <w:rPr>
          <w:rFonts w:ascii="Times New Roman" w:hAnsi="Times New Roman" w:cs="Times New Roman"/>
        </w:rPr>
      </w:pPr>
      <w:r w:rsidRPr="00D90891">
        <w:rPr>
          <w:rFonts w:ascii="Times New Roman" w:hAnsi="Times New Roman" w:cs="Times New Roman"/>
        </w:rPr>
        <w:t>Sustainability is a globally recognized concept that encompasses various research areas and is increasingly being combined with digital transition. Numerous global trends highlight the growing importance of sustainability in corporate management. These trends include the integration of sustainability principles with corporate strategic management processes, structures, cultures, systems, and technologies to enable competitive and functional level strategies (Borland, 2009).</w:t>
      </w:r>
    </w:p>
    <w:p w14:paraId="69C69AD9" w14:textId="77777777" w:rsidR="00D90891" w:rsidRPr="00D90891" w:rsidRDefault="00D90891" w:rsidP="00D90891">
      <w:pPr>
        <w:rPr>
          <w:rFonts w:ascii="Times New Roman" w:hAnsi="Times New Roman" w:cs="Times New Roman"/>
        </w:rPr>
      </w:pPr>
      <w:r w:rsidRPr="00D90891">
        <w:rPr>
          <w:rFonts w:ascii="Times New Roman" w:hAnsi="Times New Roman" w:cs="Times New Roman"/>
        </w:rPr>
        <w:t>Through an extensive literature survey, the following key findings and trends in sustainability from 2000 to 2023 have been identified:</w:t>
      </w:r>
    </w:p>
    <w:p w14:paraId="032F5FF6" w14:textId="134CA566" w:rsidR="00D90891" w:rsidRPr="00D90891" w:rsidRDefault="00D90891" w:rsidP="00D90891">
      <w:pPr>
        <w:pStyle w:val="ListParagraph"/>
        <w:numPr>
          <w:ilvl w:val="0"/>
          <w:numId w:val="3"/>
        </w:numPr>
        <w:rPr>
          <w:rFonts w:ascii="Times New Roman" w:hAnsi="Times New Roman" w:cs="Times New Roman"/>
        </w:rPr>
      </w:pPr>
      <w:r w:rsidRPr="00D90891">
        <w:rPr>
          <w:rFonts w:ascii="Times New Roman" w:hAnsi="Times New Roman" w:cs="Times New Roman"/>
        </w:rPr>
        <w:t xml:space="preserve">The sustainable market is worth about 3,200 trillion won, with a potential market of 125 trillion won yet to be developed. </w:t>
      </w:r>
    </w:p>
    <w:p w14:paraId="4B810DC6" w14:textId="0954A7C3" w:rsidR="00D90891" w:rsidRPr="00D90891" w:rsidRDefault="00D90891" w:rsidP="00D90891">
      <w:pPr>
        <w:pStyle w:val="ListParagraph"/>
        <w:numPr>
          <w:ilvl w:val="0"/>
          <w:numId w:val="3"/>
        </w:numPr>
        <w:rPr>
          <w:rFonts w:ascii="Times New Roman" w:hAnsi="Times New Roman" w:cs="Times New Roman"/>
        </w:rPr>
      </w:pPr>
      <w:r w:rsidRPr="00D90891">
        <w:rPr>
          <w:rFonts w:ascii="Times New Roman" w:hAnsi="Times New Roman" w:cs="Times New Roman"/>
        </w:rPr>
        <w:t>The concept of sustainability has become increasingly important in corporate management due to factors such as the global economic crisis, social conflict, climate change and environmental pollution.</w:t>
      </w:r>
    </w:p>
    <w:p w14:paraId="30FA419F" w14:textId="6CDC78A4" w:rsidR="00D90891" w:rsidRPr="00D90891" w:rsidRDefault="00D90891" w:rsidP="00D90891">
      <w:pPr>
        <w:pStyle w:val="ListParagraph"/>
        <w:numPr>
          <w:ilvl w:val="0"/>
          <w:numId w:val="3"/>
        </w:numPr>
        <w:rPr>
          <w:rFonts w:ascii="Times New Roman" w:hAnsi="Times New Roman" w:cs="Times New Roman"/>
        </w:rPr>
      </w:pPr>
      <w:r w:rsidRPr="00D90891">
        <w:rPr>
          <w:rFonts w:ascii="Times New Roman" w:hAnsi="Times New Roman" w:cs="Times New Roman"/>
        </w:rPr>
        <w:t>Corporate sustainability and corporate social responsibility are closely intertwined, with significant effects on a company's competitive advantage and market shares (Lee &amp; Jeong, 2022).</w:t>
      </w:r>
    </w:p>
    <w:p w14:paraId="78968974" w14:textId="77777777" w:rsidR="00D90891" w:rsidRDefault="00D90891" w:rsidP="00D90891">
      <w:pPr>
        <w:pStyle w:val="ListParagraph"/>
        <w:numPr>
          <w:ilvl w:val="0"/>
          <w:numId w:val="3"/>
        </w:numPr>
        <w:rPr>
          <w:rFonts w:ascii="Times New Roman" w:hAnsi="Times New Roman" w:cs="Times New Roman"/>
        </w:rPr>
      </w:pPr>
      <w:r w:rsidRPr="00D90891">
        <w:rPr>
          <w:rFonts w:ascii="Times New Roman" w:hAnsi="Times New Roman" w:cs="Times New Roman"/>
        </w:rPr>
        <w:lastRenderedPageBreak/>
        <w:t>(Teti et al., 2022). Market-based financial measures have contributed to a rise in research on the impact of sustainability on corporate financial performance since 2012.</w:t>
      </w:r>
    </w:p>
    <w:p w14:paraId="52106D3F" w14:textId="7FC6EF8F" w:rsidR="00D90891" w:rsidRDefault="00D90891" w:rsidP="00D90891">
      <w:pPr>
        <w:pStyle w:val="ListParagraph"/>
        <w:numPr>
          <w:ilvl w:val="0"/>
          <w:numId w:val="3"/>
        </w:numPr>
        <w:rPr>
          <w:rFonts w:ascii="Times New Roman" w:hAnsi="Times New Roman" w:cs="Times New Roman"/>
        </w:rPr>
      </w:pPr>
      <w:r w:rsidRPr="00D90891">
        <w:rPr>
          <w:rFonts w:ascii="Times New Roman" w:hAnsi="Times New Roman" w:cs="Times New Roman"/>
        </w:rPr>
        <w:t xml:space="preserve"> Consumer preferences and values play a crucial role in sustainability, making it intertwined with companies and their strategies.</w:t>
      </w:r>
    </w:p>
    <w:p w14:paraId="357FE678" w14:textId="77777777" w:rsidR="00D90891" w:rsidRDefault="00D90891" w:rsidP="00D90891">
      <w:pPr>
        <w:pStyle w:val="ListParagraph"/>
        <w:numPr>
          <w:ilvl w:val="0"/>
          <w:numId w:val="3"/>
        </w:numPr>
        <w:rPr>
          <w:rFonts w:ascii="Times New Roman" w:hAnsi="Times New Roman" w:cs="Times New Roman"/>
        </w:rPr>
      </w:pPr>
      <w:r w:rsidRPr="00D90891">
        <w:rPr>
          <w:rFonts w:ascii="Times New Roman" w:hAnsi="Times New Roman" w:cs="Times New Roman"/>
        </w:rPr>
        <w:t>A holistic sustainability approach, combining social and environmental factors, is being adopted in the literature to understand its impact on corporate performance.</w:t>
      </w:r>
    </w:p>
    <w:p w14:paraId="0F42A0DB" w14:textId="77777777" w:rsidR="00D90891" w:rsidRDefault="00D90891" w:rsidP="00D90891">
      <w:pPr>
        <w:pStyle w:val="ListParagraph"/>
        <w:rPr>
          <w:rFonts w:ascii="Times New Roman" w:hAnsi="Times New Roman" w:cs="Times New Roman"/>
        </w:rPr>
      </w:pPr>
    </w:p>
    <w:p w14:paraId="3AFD56D4" w14:textId="74CAC248" w:rsidR="00C66E41" w:rsidRDefault="00043618" w:rsidP="00D90891">
      <w:pPr>
        <w:rPr>
          <w:rFonts w:ascii="Times New Roman" w:hAnsi="Times New Roman" w:cs="Times New Roman"/>
          <w:b/>
          <w:bCs/>
        </w:rPr>
      </w:pPr>
      <w:r w:rsidRPr="00D90891">
        <w:rPr>
          <w:rFonts w:ascii="Times New Roman" w:hAnsi="Times New Roman" w:cs="Times New Roman"/>
          <w:b/>
          <w:bCs/>
        </w:rPr>
        <w:t>Social Or Business Impact</w:t>
      </w:r>
    </w:p>
    <w:p w14:paraId="34071F9C" w14:textId="77777777" w:rsidR="00C66E41" w:rsidRP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t>Accelerating Progress on SDGs: By identifying funding gaps and effective interventions, data analytics can contribute significantly to achieving the SDGs on poverty, hunger, health, education, and more.</w:t>
      </w:r>
    </w:p>
    <w:p w14:paraId="10547007" w14:textId="77777777" w:rsidR="00C66E41" w:rsidRP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t>Improved Resource Allocation: Insights can guide governments, development agencies, and investors to prioritize and allocate resources efficiently, maximizing impact.</w:t>
      </w:r>
    </w:p>
    <w:p w14:paraId="125A738B" w14:textId="77777777" w:rsidR="00C66E41" w:rsidRP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t>Increased Financial Inclusion: Data-driven solutions can support financial inclusion and access to essential services for marginalized communities.</w:t>
      </w:r>
    </w:p>
    <w:p w14:paraId="4D63B20E" w14:textId="330F5B69" w:rsid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t>Enhanced Transparency and Accountability: Data analytics can promote transparency in development finance flows and hold institutions accountable for their commitment to SDGs.</w:t>
      </w:r>
    </w:p>
    <w:p w14:paraId="73775306" w14:textId="77777777" w:rsidR="00C66E41" w:rsidRPr="00C66E41" w:rsidRDefault="00C66E41" w:rsidP="00C66E41">
      <w:pPr>
        <w:ind w:left="360"/>
        <w:rPr>
          <w:rFonts w:ascii="Times New Roman" w:hAnsi="Times New Roman" w:cs="Times New Roman"/>
          <w:b/>
          <w:bCs/>
        </w:rPr>
      </w:pPr>
      <w:r w:rsidRPr="00C66E41">
        <w:rPr>
          <w:rFonts w:ascii="Times New Roman" w:hAnsi="Times New Roman" w:cs="Times New Roman"/>
          <w:b/>
          <w:bCs/>
        </w:rPr>
        <w:t>Social Impact:</w:t>
      </w:r>
    </w:p>
    <w:p w14:paraId="776EB3C0" w14:textId="312A44BE" w:rsidR="00C66E41" w:rsidRP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t>Poverty Reduction:Increased development finance can lead to targeted investments in poverty reduction programs, improving access to education, healthcare, and basic services.</w:t>
      </w:r>
    </w:p>
    <w:p w14:paraId="0B91B6AB" w14:textId="7A5D8979" w:rsidR="00C66E41" w:rsidRP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t>Health and Well-being: Adequate funding for health-related projects can lead to improved healthcare infrastructure, disease prevention, and overall enhancement of public health.</w:t>
      </w:r>
    </w:p>
    <w:p w14:paraId="589C9149" w14:textId="5715358A" w:rsidR="00C66E41" w:rsidRP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t>Education and Skills Development: Development finance can be directed towards education initiatives, promoting access to quality education, skills development, and vocational training, contributing to long-term economic and social development.</w:t>
      </w:r>
    </w:p>
    <w:p w14:paraId="16EE19EC" w14:textId="23EFDF5D" w:rsidR="00C66E41" w:rsidRP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t>Gender Equality: Targeted financing can address gender disparities by supporting projects that empower women, enhance their economic participation, and promote gender equality.</w:t>
      </w:r>
    </w:p>
    <w:p w14:paraId="1FD88736" w14:textId="697C3EAF" w:rsidR="00C66E41" w:rsidRP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t>Infrastructure Development: Investments in infrastructure, such as clean water supply, sanitation, and transportation, can significantly improve the quality of life for communities, especially in developing regions.</w:t>
      </w:r>
    </w:p>
    <w:p w14:paraId="3E62945E" w14:textId="1812FD76" w:rsidR="00C66E41" w:rsidRP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t>Environmental Sustainability: Sustainable development financing can contribute to environmental conservation and climate change mitigation, ensuring a healthier and more sustainable future for communities.</w:t>
      </w:r>
    </w:p>
    <w:p w14:paraId="129B0BAB" w14:textId="20D2B7B5" w:rsidR="00C66E41" w:rsidRP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t>Inclusive Development: Reforms in the global financial architecture can aim at ensuring that development projects are inclusive, reaching marginalized communities and addressing social inequalities.</w:t>
      </w:r>
    </w:p>
    <w:p w14:paraId="611B4BED" w14:textId="77777777" w:rsidR="00C66E41" w:rsidRPr="00C66E41" w:rsidRDefault="00C66E41" w:rsidP="00C66E41">
      <w:pPr>
        <w:ind w:left="360"/>
        <w:rPr>
          <w:rFonts w:ascii="Times New Roman" w:hAnsi="Times New Roman" w:cs="Times New Roman"/>
          <w:b/>
          <w:bCs/>
        </w:rPr>
      </w:pPr>
      <w:r w:rsidRPr="00C66E41">
        <w:rPr>
          <w:rFonts w:ascii="Times New Roman" w:hAnsi="Times New Roman" w:cs="Times New Roman"/>
          <w:b/>
          <w:bCs/>
        </w:rPr>
        <w:t>Business Impact:</w:t>
      </w:r>
    </w:p>
    <w:p w14:paraId="2ED07E8B" w14:textId="5CE2CC01" w:rsidR="00C66E41" w:rsidRP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t>Investment Opportunities: A reformed global financial architecture can create new investment opportunities, especially in emerging markets, attracting businesses and fostering economic growth.</w:t>
      </w:r>
    </w:p>
    <w:p w14:paraId="65E09B70" w14:textId="61850CEC" w:rsidR="00C66E41" w:rsidRP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t>Private Sector Engagement:</w:t>
      </w:r>
      <w:r>
        <w:rPr>
          <w:rFonts w:ascii="Times New Roman" w:hAnsi="Times New Roman" w:cs="Times New Roman"/>
        </w:rPr>
        <w:t xml:space="preserve"> </w:t>
      </w:r>
      <w:r w:rsidRPr="00C66E41">
        <w:rPr>
          <w:rFonts w:ascii="Times New Roman" w:hAnsi="Times New Roman" w:cs="Times New Roman"/>
        </w:rPr>
        <w:t>Increased private sector engagement in development projects can lead to innovative financing mechanisms, creating business opportunities while contributing to social and environmental goals.</w:t>
      </w:r>
    </w:p>
    <w:p w14:paraId="6A696B38" w14:textId="09AD899D" w:rsidR="00C66E41" w:rsidRP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t>Risk Mitigation: Well-structured development finance and reforms can mitigate risks associated with investments in developing countries, providing a more conducive environment for businesses to operate.</w:t>
      </w:r>
    </w:p>
    <w:p w14:paraId="69C77555" w14:textId="33188D58" w:rsidR="00C66E41" w:rsidRP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lastRenderedPageBreak/>
        <w:t>Market Access and Expansion: Improved infrastructure and economic development resulting from increased financing can open up new markets and opportunities for businesses, leading to expansion and growth.</w:t>
      </w:r>
    </w:p>
    <w:p w14:paraId="74B2D10B" w14:textId="4BFE06DF" w:rsidR="00C66E41" w:rsidRP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t>Corporate Social Responsibility (CSR): Businesses can align their CSR initiatives with sustainable development goals, fostering a positive corporate image and contributing to long-term social and environmental benefits.</w:t>
      </w:r>
    </w:p>
    <w:p w14:paraId="1285894D" w14:textId="275BC794" w:rsidR="00C66E41" w:rsidRP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t>Innovation and Technology Transfer: Development finance can support technology transfer and innovation, creating opportunities for businesses to engage in emerging markets and industries.</w:t>
      </w:r>
    </w:p>
    <w:p w14:paraId="35F0FD4E" w14:textId="70EC2322" w:rsidR="00C66E41" w:rsidRPr="00C66E41" w:rsidRDefault="00C66E41" w:rsidP="00C66E41">
      <w:pPr>
        <w:pStyle w:val="ListParagraph"/>
        <w:numPr>
          <w:ilvl w:val="0"/>
          <w:numId w:val="6"/>
        </w:numPr>
        <w:rPr>
          <w:rFonts w:ascii="Times New Roman" w:hAnsi="Times New Roman" w:cs="Times New Roman"/>
        </w:rPr>
      </w:pPr>
      <w:r w:rsidRPr="00C66E41">
        <w:rPr>
          <w:rFonts w:ascii="Times New Roman" w:hAnsi="Times New Roman" w:cs="Times New Roman"/>
        </w:rPr>
        <w:t>Global Reputation and Partnerships: Companies involved in socially responsible and sustainable development initiatives can enhance their global reputation, attract partnerships, and strengthen stakeholder relationships.</w:t>
      </w:r>
    </w:p>
    <w:p w14:paraId="218C3530" w14:textId="77777777" w:rsidR="00C66E41" w:rsidRDefault="00C66E41">
      <w:pPr>
        <w:rPr>
          <w:rFonts w:ascii="Times New Roman" w:hAnsi="Times New Roman" w:cs="Times New Roman"/>
          <w:b/>
          <w:bCs/>
        </w:rPr>
      </w:pPr>
      <w:r>
        <w:rPr>
          <w:rFonts w:ascii="Times New Roman" w:hAnsi="Times New Roman" w:cs="Times New Roman"/>
          <w:b/>
          <w:bCs/>
        </w:rPr>
        <w:br w:type="page"/>
      </w:r>
    </w:p>
    <w:p w14:paraId="29246887" w14:textId="77777777" w:rsidR="00043618" w:rsidRPr="00D90891" w:rsidRDefault="00043618" w:rsidP="00D90891">
      <w:pPr>
        <w:rPr>
          <w:rFonts w:ascii="Times New Roman" w:hAnsi="Times New Roman" w:cs="Times New Roman"/>
          <w:b/>
          <w:bCs/>
        </w:rPr>
      </w:pPr>
    </w:p>
    <w:sectPr w:rsidR="00043618" w:rsidRPr="00D90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119"/>
    <w:multiLevelType w:val="hybridMultilevel"/>
    <w:tmpl w:val="CC5EC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CB27A0"/>
    <w:multiLevelType w:val="hybridMultilevel"/>
    <w:tmpl w:val="F3C69BE8"/>
    <w:lvl w:ilvl="0" w:tplc="0F20BC2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4F0E1665"/>
    <w:multiLevelType w:val="hybridMultilevel"/>
    <w:tmpl w:val="95AC7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8B5760"/>
    <w:multiLevelType w:val="hybridMultilevel"/>
    <w:tmpl w:val="85B01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113026"/>
    <w:multiLevelType w:val="hybridMultilevel"/>
    <w:tmpl w:val="B4329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024291"/>
    <w:multiLevelType w:val="hybridMultilevel"/>
    <w:tmpl w:val="17488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230923">
    <w:abstractNumId w:val="0"/>
  </w:num>
  <w:num w:numId="2" w16cid:durableId="714890648">
    <w:abstractNumId w:val="2"/>
  </w:num>
  <w:num w:numId="3" w16cid:durableId="2001881014">
    <w:abstractNumId w:val="3"/>
  </w:num>
  <w:num w:numId="4" w16cid:durableId="555236345">
    <w:abstractNumId w:val="1"/>
  </w:num>
  <w:num w:numId="5" w16cid:durableId="2060548531">
    <w:abstractNumId w:val="5"/>
  </w:num>
  <w:num w:numId="6" w16cid:durableId="1177430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18"/>
    <w:rsid w:val="00043618"/>
    <w:rsid w:val="000D0302"/>
    <w:rsid w:val="00312C20"/>
    <w:rsid w:val="00343DB3"/>
    <w:rsid w:val="00C66E41"/>
    <w:rsid w:val="00D90891"/>
    <w:rsid w:val="00FF3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D071"/>
  <w15:chartTrackingRefBased/>
  <w15:docId w15:val="{48A8DEB2-E039-4790-8C42-1DCC0888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 RI</dc:creator>
  <cp:keywords/>
  <dc:description/>
  <cp:lastModifiedBy>Minu RI</cp:lastModifiedBy>
  <cp:revision>2</cp:revision>
  <dcterms:created xsi:type="dcterms:W3CDTF">2024-01-05T06:34:00Z</dcterms:created>
  <dcterms:modified xsi:type="dcterms:W3CDTF">2024-01-05T06:58:00Z</dcterms:modified>
</cp:coreProperties>
</file>