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Literature Review document offers an insight into existing research, studies, and solutions pertinent to the CURA Healthcare Demo project. This review aims to uncover critical insights, exemplary practices, and technological advancements within the healthcare management sphere to guide the project's development and execution.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Appointment Scheduling Solutions: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1.1. Existing Systems: Examine prevalent appointment scheduling systems utilized in healthcare environments, encompassing electronic health record (EHR) integrations and patient portals.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1.2. Best Practices: Identify optimal approaches for streamlining appointment scheduling processes, including self-service options for patients, automated reminders, and real-time availability updates.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Patient Information Management: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2.1. Electronic Health Records (EHRs): Delve into the functionalities and advantages of EHR systems in consolidating patient information, ensuring data accuracy, and enhancing healthcare delivery.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2.2. Data Privacy and Security: Explore the regulatory prerequisites and security protocols for safeguarding patient data within healthcare information systems, covering aspects such as encryption, access controls, and audit trails.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Reporting and Analytics: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3.1. Healthcare Analytics: Investigate the significance of data analytics in healthcare decision-making, performance evaluation, and quality enhancement endeavors.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3.2. Reporting Tools: Assess the efficacy of reporting and dashboarding tools utilized to derive actionable insights from healthcare data, encompassing key performance indicators (KPIs) and performance benchmarks.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Regulatory Compliance: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4.1. HIPAA Compliance: Comprehend the requisites and ramifications of adhering to the Health Insurance Portability and Accountability Act (HIPAA) concerning healthcare software development, data management, and privacy protocols.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4.2. Regulatory Updates: Stay abreast of recent regulatory alterations and compliance criteria pertinent to healthcare management systems, data interoperability, and patient entitlements.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Conclusion: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Literature Review furnishes invaluable insights and references for grasping the prevailing landscape of healthcare management technologies and methodologies. Leveraging the insights garnered from this review, the CURA Healthcare Demo project can integrate industry best practices, address prevalent challenges, and deliver a resilient solution aligning with the requisites of healthcare providers and patients.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