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Proposition de partenariat ARCHIALEARN / ARCHIFRIDAYS</w:t>
      </w:r>
    </w:p>
    <w:p>
      <w:r>
        <w:rPr>
          <w:i/>
        </w:rPr>
        <w:t>Programme conjoint de sessions Data Day et de préparation aux certifications Microsoft. Document de travail, septembre 2026.</w:t>
      </w:r>
    </w:p>
    <w:p>
      <w:r>
        <w:t>Organisation : ARCHIALEARN (marque formation d'ARCHIA365 SAS)  |  Auteur : Rodrigue YENGO  |  Version : 1.0 du 18/09/2026</w:t>
      </w:r>
    </w:p>
    <w:p>
      <w:pPr>
        <w:pStyle w:val="Heading1"/>
      </w:pPr>
      <w:r>
        <w:t>1. Contexte</w:t>
      </w:r>
    </w:p>
    <w:p>
      <w:r>
        <w:t>ARCHIALEARN, organisme de formation certifié Qualiopi, et ARCHIFRIDAYS, communauté d'architectes et de praticiens de la donnée, animent depuis 2025 des sessions Data Day communes. La présente proposition formalise un partenariat sur 24 mois.</w:t>
      </w:r>
    </w:p>
    <w:p>
      <w:pPr>
        <w:pStyle w:val="Heading1"/>
      </w:pPr>
      <w:r>
        <w:t>2. Objectifs du partenariat</w:t>
      </w:r>
    </w:p>
    <w:p>
      <w:pPr>
        <w:pStyle w:val="ListBullet"/>
      </w:pPr>
      <w:r>
        <w:t>Co-produire 12 sessions Data Day par an, en présentiel à Paris et à distance.</w:t>
      </w:r>
    </w:p>
    <w:p>
      <w:pPr>
        <w:pStyle w:val="ListBullet"/>
      </w:pPr>
      <w:r>
        <w:t>Proposer aux membres ARCHIFRIDAYS un tarif préférentiel de 15 % sur les formations certifiantes ARCHIALEARN.</w:t>
      </w:r>
    </w:p>
    <w:p>
      <w:pPr>
        <w:pStyle w:val="ListBullet"/>
      </w:pPr>
      <w:r>
        <w:t>Mutualiser un catalogue de labs et d'exercices en français.</w:t>
      </w:r>
    </w:p>
    <w:p>
      <w:pPr>
        <w:pStyle w:val="ListBullet"/>
      </w:pPr>
      <w:r>
        <w:t>Atteindre 400 participants cumulés la première année.</w:t>
      </w:r>
    </w:p>
    <w:p>
      <w:pPr>
        <w:pStyle w:val="Heading1"/>
      </w:pPr>
      <w:r>
        <w:t>3. Engagements de chaque partie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Engagement</w:t>
            </w:r>
          </w:p>
        </w:tc>
        <w:tc>
          <w:tcPr>
            <w:tcW w:type="dxa" w:w="2880"/>
          </w:tcPr>
          <w:p>
            <w:r>
              <w:t>ARCHIALEARN</w:t>
            </w:r>
          </w:p>
        </w:tc>
        <w:tc>
          <w:tcPr>
            <w:tcW w:type="dxa" w:w="2880"/>
          </w:tcPr>
          <w:p>
            <w:r>
              <w:t>ARCHIFRIDAYS</w:t>
            </w:r>
          </w:p>
        </w:tc>
      </w:tr>
      <w:tr>
        <w:tc>
          <w:tcPr>
            <w:tcW w:type="dxa" w:w="2880"/>
          </w:tcPr>
          <w:p>
            <w:r>
              <w:t>Ingénierie pédagogique et supports</w:t>
            </w:r>
          </w:p>
        </w:tc>
        <w:tc>
          <w:tcPr>
            <w:tcW w:type="dxa" w:w="2880"/>
          </w:tcPr>
          <w:p>
            <w:r>
              <w:t>Oui</w:t>
            </w:r>
          </w:p>
        </w:tc>
        <w:tc>
          <w:tcPr>
            <w:tcW w:type="dxa" w:w="2880"/>
          </w:tcPr>
          <w:p>
            <w:r>
              <w:t>Relecture</w:t>
            </w:r>
          </w:p>
        </w:tc>
      </w:tr>
      <w:tr>
        <w:tc>
          <w:tcPr>
            <w:tcW w:type="dxa" w:w="2880"/>
          </w:tcPr>
          <w:p>
            <w:r>
              <w:t>Animation des sessions</w:t>
            </w:r>
          </w:p>
        </w:tc>
        <w:tc>
          <w:tcPr>
            <w:tcW w:type="dxa" w:w="2880"/>
          </w:tcPr>
          <w:p>
            <w:r>
              <w:t>Formateurs MCT</w:t>
            </w:r>
          </w:p>
        </w:tc>
        <w:tc>
          <w:tcPr>
            <w:tcW w:type="dxa" w:w="2880"/>
          </w:tcPr>
          <w:p>
            <w:r>
              <w:t>Intervenants invités</w:t>
            </w:r>
          </w:p>
        </w:tc>
      </w:tr>
      <w:tr>
        <w:tc>
          <w:tcPr>
            <w:tcW w:type="dxa" w:w="2880"/>
          </w:tcPr>
          <w:p>
            <w:r>
              <w:t>Communication et inscriptions</w:t>
            </w:r>
          </w:p>
        </w:tc>
        <w:tc>
          <w:tcPr>
            <w:tcW w:type="dxa" w:w="2880"/>
          </w:tcPr>
          <w:p>
            <w:r>
              <w:t>Site et EDOF</w:t>
            </w:r>
          </w:p>
        </w:tc>
        <w:tc>
          <w:tcPr>
            <w:tcW w:type="dxa" w:w="2880"/>
          </w:tcPr>
          <w:p>
            <w:r>
              <w:t>Réseaux et newsletter</w:t>
            </w:r>
          </w:p>
        </w:tc>
      </w:tr>
      <w:tr>
        <w:tc>
          <w:tcPr>
            <w:tcW w:type="dxa" w:w="2880"/>
          </w:tcPr>
          <w:p>
            <w:r>
              <w:t>Logistique des salles</w:t>
            </w:r>
          </w:p>
        </w:tc>
        <w:tc>
          <w:tcPr>
            <w:tcW w:type="dxa" w:w="2880"/>
          </w:tcPr>
          <w:p>
            <w:r>
              <w:t>Oui</w:t>
            </w:r>
          </w:p>
        </w:tc>
        <w:tc>
          <w:tcPr>
            <w:tcW w:type="dxa" w:w="2880"/>
          </w:tcPr>
          <w:p>
            <w:r>
              <w:t>Non</w:t>
            </w:r>
          </w:p>
        </w:tc>
      </w:tr>
      <w:tr>
        <w:tc>
          <w:tcPr>
            <w:tcW w:type="dxa" w:w="2880"/>
          </w:tcPr>
          <w:p>
            <w:r>
              <w:t>Suivi qualité (Qualiopi)</w:t>
            </w:r>
          </w:p>
        </w:tc>
        <w:tc>
          <w:tcPr>
            <w:tcW w:type="dxa" w:w="2880"/>
          </w:tcPr>
          <w:p>
            <w:r>
              <w:t>Oui</w:t>
            </w:r>
          </w:p>
        </w:tc>
        <w:tc>
          <w:tcPr>
            <w:tcW w:type="dxa" w:w="2880"/>
          </w:tcPr>
          <w:p>
            <w:r>
              <w:t>Contribution aux évaluations</w:t>
            </w:r>
          </w:p>
        </w:tc>
      </w:tr>
    </w:tbl>
    <w:p/>
    <w:p>
      <w:pPr>
        <w:pStyle w:val="Heading1"/>
      </w:pPr>
      <w:r>
        <w:t>4. Modèle économique</w:t>
      </w:r>
    </w:p>
    <w:p>
      <w:r>
        <w:t>Les recettes des sessions Data Day sont partagées à 70 % pour ARCHIALEARN et 30 % pour ARCHIFRIDAYS après déduction des coûts directs. Les formations certifiantes vendues via ARCHIFRIDAYS donnent lieu à une commission d'apport d'affaires de 10 %.</w:t>
      </w:r>
    </w:p>
    <w:p>
      <w:pPr>
        <w:pStyle w:val="Heading1"/>
      </w:pPr>
      <w:r>
        <w:t>5. Calendrier</w:t>
      </w:r>
    </w:p>
    <w:p>
      <w:pPr>
        <w:pStyle w:val="ListBullet"/>
      </w:pPr>
      <w:r>
        <w:t>Octobre 2026 : signature et réunion de lancement.</w:t>
      </w:r>
    </w:p>
    <w:p>
      <w:pPr>
        <w:pStyle w:val="ListBullet"/>
      </w:pPr>
      <w:r>
        <w:t>Novembre 2026 : première session Data Day conjointe (thème Fabric et IA).</w:t>
      </w:r>
    </w:p>
    <w:p>
      <w:pPr>
        <w:pStyle w:val="ListBullet"/>
      </w:pPr>
      <w:r>
        <w:t>Janvier 2027 : ouverture du tarif membre.</w:t>
      </w:r>
    </w:p>
    <w:p>
      <w:pPr>
        <w:pStyle w:val="ListBullet"/>
      </w:pPr>
      <w:r>
        <w:t>Juin 2027 : bilan intermédiaire.</w:t>
      </w:r>
    </w:p>
    <w:p>
      <w:pPr>
        <w:pStyle w:val="Heading1"/>
      </w:pPr>
      <w:r>
        <w:t>6. Risques et points ouverts</w:t>
      </w:r>
    </w:p>
    <w:p>
      <w:pPr>
        <w:pStyle w:val="ListBullet"/>
      </w:pPr>
      <w:r>
        <w:t>Propriété intellectuelle des supports co-produits (à préciser dans le contrat).</w:t>
      </w:r>
    </w:p>
    <w:p>
      <w:pPr>
        <w:pStyle w:val="ListBullet"/>
      </w:pPr>
      <w:r>
        <w:t>Disponibilité des intervenants invités.</w:t>
      </w:r>
    </w:p>
    <w:p>
      <w:pPr>
        <w:pStyle w:val="ListBullet"/>
      </w:pPr>
      <w:r>
        <w:t>Répartition des coûts d'annulation de session.</w:t>
      </w:r>
    </w:p>
    <w:p>
      <w:pPr>
        <w:pStyle w:val="Heading1"/>
      </w:pPr>
      <w:r>
        <w:t>7. Prochaines étapes</w:t>
      </w:r>
    </w:p>
    <w:p>
      <w:r>
        <w:t>Validation par la direction d'ARCHIALEARN, retour d'ARCHIFRIDAYS sous 15 jours, puis rédaction du contrat par le conseil juridique.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4"/>
      </w:rPr>
      <w:t>Propriété intellectuelle : ARCHIA365 (Société ARCHIA365, 75008 PARIS, SIREN 990 705 055) et ARCHIALEARN. Document fictif produit pour les besoins de la formation AB-730. Toute réutilisation à des fins de formation : contact@archia365.fr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