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Politique de déplacements professionnels</w:t>
      </w:r>
    </w:p>
    <w:p>
      <w:r>
        <w:rPr>
          <w:i/>
        </w:rPr>
        <w:t>Règles applicables aux formateurs et salariés ARCHIALEARN. Version 2026.</w:t>
      </w:r>
    </w:p>
    <w:p>
      <w:r>
        <w:t>Organisation : ARCHIALEARN (marque formation d'ARCHIA365 SAS)  |  Auteur : Rodrigue YENGO  |  Version : 1.0 du 18/09/2026</w:t>
      </w:r>
    </w:p>
    <w:p>
      <w:pPr>
        <w:pStyle w:val="Heading1"/>
      </w:pPr>
      <w:r>
        <w:t>1. Principes</w:t>
      </w:r>
    </w:p>
    <w:p>
      <w:pPr>
        <w:pStyle w:val="ListBullet"/>
      </w:pPr>
      <w:r>
        <w:t>Tout déplacement doit être lié à une session de formation, une réunion client ou un événement validé.</w:t>
      </w:r>
    </w:p>
    <w:p>
      <w:pPr>
        <w:pStyle w:val="ListBullet"/>
      </w:pPr>
      <w:r>
        <w:t>Le mode de transport le plus économique compatible avec la mission est privilégié (train en 2e classe par défaut).</w:t>
      </w:r>
    </w:p>
    <w:p>
      <w:pPr>
        <w:pStyle w:val="ListBullet"/>
      </w:pPr>
      <w:r>
        <w:t>Les partenaires référencés (hôtels, agence de voyage) sont utilisés en priorité.</w:t>
      </w:r>
    </w:p>
    <w:p>
      <w:pPr>
        <w:pStyle w:val="Heading1"/>
      </w:pPr>
      <w:r>
        <w:t>2. Plafonds de remboursement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Poste</w:t>
            </w:r>
          </w:p>
        </w:tc>
        <w:tc>
          <w:tcPr>
            <w:tcW w:type="dxa" w:w="2880"/>
          </w:tcPr>
          <w:p>
            <w:r>
              <w:t>Plafond</w:t>
            </w:r>
          </w:p>
        </w:tc>
        <w:tc>
          <w:tcPr>
            <w:tcW w:type="dxa" w:w="2880"/>
          </w:tcPr>
          <w:p>
            <w:r>
              <w:t>Justificatif</w:t>
            </w:r>
          </w:p>
        </w:tc>
      </w:tr>
      <w:tr>
        <w:tc>
          <w:tcPr>
            <w:tcW w:type="dxa" w:w="2880"/>
          </w:tcPr>
          <w:p>
            <w:r>
              <w:t>Hôtel Paris et grandes métropoles</w:t>
            </w:r>
          </w:p>
        </w:tc>
        <w:tc>
          <w:tcPr>
            <w:tcW w:type="dxa" w:w="2880"/>
          </w:tcPr>
          <w:p>
            <w:r>
              <w:t>150 euros par nuit</w:t>
            </w:r>
          </w:p>
        </w:tc>
        <w:tc>
          <w:tcPr>
            <w:tcW w:type="dxa" w:w="2880"/>
          </w:tcPr>
          <w:p>
            <w:r>
              <w:t>Facture</w:t>
            </w:r>
          </w:p>
        </w:tc>
      </w:tr>
      <w:tr>
        <w:tc>
          <w:tcPr>
            <w:tcW w:type="dxa" w:w="2880"/>
          </w:tcPr>
          <w:p>
            <w:r>
              <w:t>Hôtel autres villes</w:t>
            </w:r>
          </w:p>
        </w:tc>
        <w:tc>
          <w:tcPr>
            <w:tcW w:type="dxa" w:w="2880"/>
          </w:tcPr>
          <w:p>
            <w:r>
              <w:t>110 euros par nuit</w:t>
            </w:r>
          </w:p>
        </w:tc>
        <w:tc>
          <w:tcPr>
            <w:tcW w:type="dxa" w:w="2880"/>
          </w:tcPr>
          <w:p>
            <w:r>
              <w:t>Facture</w:t>
            </w:r>
          </w:p>
        </w:tc>
      </w:tr>
      <w:tr>
        <w:tc>
          <w:tcPr>
            <w:tcW w:type="dxa" w:w="2880"/>
          </w:tcPr>
          <w:p>
            <w:r>
              <w:t>Repas</w:t>
            </w:r>
          </w:p>
        </w:tc>
        <w:tc>
          <w:tcPr>
            <w:tcW w:type="dxa" w:w="2880"/>
          </w:tcPr>
          <w:p>
            <w:r>
              <w:t>25 euros par repas</w:t>
            </w:r>
          </w:p>
        </w:tc>
        <w:tc>
          <w:tcPr>
            <w:tcW w:type="dxa" w:w="2880"/>
          </w:tcPr>
          <w:p>
            <w:r>
              <w:t>Ticket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2e classe, échangeable</w:t>
            </w:r>
          </w:p>
        </w:tc>
        <w:tc>
          <w:tcPr>
            <w:tcW w:type="dxa" w:w="2880"/>
          </w:tcPr>
          <w:p>
            <w:r>
              <w:t>Billet</w:t>
            </w:r>
          </w:p>
        </w:tc>
      </w:tr>
      <w:tr>
        <w:tc>
          <w:tcPr>
            <w:tcW w:type="dxa" w:w="2880"/>
          </w:tcPr>
          <w:p>
            <w:r>
              <w:t>Avion</w:t>
            </w:r>
          </w:p>
        </w:tc>
        <w:tc>
          <w:tcPr>
            <w:tcW w:type="dxa" w:w="2880"/>
          </w:tcPr>
          <w:p>
            <w:r>
              <w:t>Uniquement au-delà de 4 h de train, classe économique</w:t>
            </w:r>
          </w:p>
        </w:tc>
        <w:tc>
          <w:tcPr>
            <w:tcW w:type="dxa" w:w="2880"/>
          </w:tcPr>
          <w:p>
            <w:r>
              <w:t>Billet</w:t>
            </w:r>
          </w:p>
        </w:tc>
      </w:tr>
      <w:tr>
        <w:tc>
          <w:tcPr>
            <w:tcW w:type="dxa" w:w="2880"/>
          </w:tcPr>
          <w:p>
            <w:r>
              <w:t>Indemnités kilométriques</w:t>
            </w:r>
          </w:p>
        </w:tc>
        <w:tc>
          <w:tcPr>
            <w:tcW w:type="dxa" w:w="2880"/>
          </w:tcPr>
          <w:p>
            <w:r>
              <w:t>Barème fiscal en vigueur</w:t>
            </w:r>
          </w:p>
        </w:tc>
        <w:tc>
          <w:tcPr>
            <w:tcW w:type="dxa" w:w="2880"/>
          </w:tcPr>
          <w:p>
            <w:r>
              <w:t>Relevé</w:t>
            </w:r>
          </w:p>
        </w:tc>
      </w:tr>
    </w:tbl>
    <w:p/>
    <w:p>
      <w:pPr>
        <w:pStyle w:val="Heading1"/>
      </w:pPr>
      <w:r>
        <w:t>3. Validation</w:t>
      </w:r>
    </w:p>
    <w:p>
      <w:r>
        <w:t>Toute demande de déplacement dont le coût total estimé dépasse 1 000 euros doit être validée par le responsable hiérarchique avant réservation. Aucune réservation n'est effectuée sans l'accord explicite du salarié concerné.</w:t>
      </w:r>
    </w:p>
    <w:p>
      <w:pPr>
        <w:pStyle w:val="Heading1"/>
      </w:pPr>
      <w:r>
        <w:t>4. Hôtels référencés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Ville</w:t>
            </w:r>
          </w:p>
        </w:tc>
        <w:tc>
          <w:tcPr>
            <w:tcW w:type="dxa" w:w="2880"/>
          </w:tcPr>
          <w:p>
            <w:r>
              <w:t>Hôtel référencé</w:t>
            </w:r>
          </w:p>
        </w:tc>
        <w:tc>
          <w:tcPr>
            <w:tcW w:type="dxa" w:w="2880"/>
          </w:tcPr>
          <w:p>
            <w:r>
              <w:t>Tarif négocié</w:t>
            </w:r>
          </w:p>
        </w:tc>
      </w:tr>
      <w:tr>
        <w:tc>
          <w:tcPr>
            <w:tcW w:type="dxa" w:w="2880"/>
          </w:tcPr>
          <w:p>
            <w:r>
              <w:t>Paris</w:t>
            </w:r>
          </w:p>
        </w:tc>
        <w:tc>
          <w:tcPr>
            <w:tcW w:type="dxa" w:w="2880"/>
          </w:tcPr>
          <w:p>
            <w:r>
              <w:t>Hôtel Archi Opéra (fictif)</w:t>
            </w:r>
          </w:p>
        </w:tc>
        <w:tc>
          <w:tcPr>
            <w:tcW w:type="dxa" w:w="2880"/>
          </w:tcPr>
          <w:p>
            <w:r>
              <w:t>139 euros</w:t>
            </w:r>
          </w:p>
        </w:tc>
      </w:tr>
      <w:tr>
        <w:tc>
          <w:tcPr>
            <w:tcW w:type="dxa" w:w="2880"/>
          </w:tcPr>
          <w:p>
            <w:r>
              <w:t>Lyon</w:t>
            </w:r>
          </w:p>
        </w:tc>
        <w:tc>
          <w:tcPr>
            <w:tcW w:type="dxa" w:w="2880"/>
          </w:tcPr>
          <w:p>
            <w:r>
              <w:t>Hôtel Part-Dieu Confluence (fictif)</w:t>
            </w:r>
          </w:p>
        </w:tc>
        <w:tc>
          <w:tcPr>
            <w:tcW w:type="dxa" w:w="2880"/>
          </w:tcPr>
          <w:p>
            <w:r>
              <w:t>105 euros</w:t>
            </w:r>
          </w:p>
        </w:tc>
      </w:tr>
      <w:tr>
        <w:tc>
          <w:tcPr>
            <w:tcW w:type="dxa" w:w="2880"/>
          </w:tcPr>
          <w:p>
            <w:r>
              <w:t>Lille</w:t>
            </w:r>
          </w:p>
        </w:tc>
        <w:tc>
          <w:tcPr>
            <w:tcW w:type="dxa" w:w="2880"/>
          </w:tcPr>
          <w:p>
            <w:r>
              <w:t>Hôtel Grand Place Europe (fictif)</w:t>
            </w:r>
          </w:p>
        </w:tc>
        <w:tc>
          <w:tcPr>
            <w:tcW w:type="dxa" w:w="2880"/>
          </w:tcPr>
          <w:p>
            <w:r>
              <w:t>98 euros</w:t>
            </w:r>
          </w:p>
        </w:tc>
      </w:tr>
    </w:tbl>
    <w:p/>
    <w:p>
      <w:pPr>
        <w:pStyle w:val="Heading1"/>
      </w:pPr>
      <w:r>
        <w:t>5. Procédure</w:t>
      </w:r>
    </w:p>
    <w:p>
      <w:pPr>
        <w:pStyle w:val="ListNumber"/>
      </w:pPr>
      <w:r>
        <w:t>Remplir la demande de déplacement dans l'outil interne.</w:t>
      </w:r>
    </w:p>
    <w:p>
      <w:pPr>
        <w:pStyle w:val="ListNumber"/>
      </w:pPr>
      <w:r>
        <w:t>Obtenir la validation si le seuil de 1 000 euros est dépassé.</w:t>
      </w:r>
    </w:p>
    <w:p>
      <w:pPr>
        <w:pStyle w:val="ListNumber"/>
      </w:pPr>
      <w:r>
        <w:t>Réserver via l'agence référencée.</w:t>
      </w:r>
    </w:p>
    <w:p>
      <w:pPr>
        <w:pStyle w:val="ListNumber"/>
      </w:pPr>
      <w:r>
        <w:t>Transmettre les justificatifs sous 15 jours après le retour.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Propriété intellectuelle : ARCHIA365 (Société ARCHIA365, 75008 PARIS, SIREN 990 705 055) et ARCHIALEARN. Document fictif produit pour les besoins de la formation AB-730. Toute réutilisation à des fins de formation : contact@archia365.fr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