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stratégique 2027-2029</w:t>
      </w:r>
    </w:p>
    <w:p>
      <w:r>
        <w:rPr>
          <w:i/>
        </w:rPr>
        <w:t>Document interne réservé à la direction. À étiqueter « Hautement confidentiel » dans Microsoft Purview avant utilisation en lab (voir README).</w:t>
      </w:r>
    </w:p>
    <w:p>
      <w:r>
        <w:t>Organisation : ARCHIALEARN (marque formation d'ARCHIA365 SAS)  |  Auteur : Rodrigue YENGO  |  Version : 1.0 du 18/09/2026</w:t>
      </w:r>
    </w:p>
    <w:p>
      <w:r>
        <w:rPr>
          <w:b/>
          <w:color w:val="C00000"/>
        </w:rPr>
        <w:t>HAUTEMENT CONFIDENTIEL (contenu fictif)</w:t>
      </w:r>
    </w:p>
    <w:p>
      <w:pPr>
        <w:pStyle w:val="Heading1"/>
      </w:pPr>
      <w:r>
        <w:t>1. Ambition</w:t>
      </w:r>
    </w:p>
    <w:p>
      <w:r>
        <w:t>Devenir l'organisme de référence francophone pour la préparation aux certifications Microsoft Data, IA et Business Applications, avec un chiffre d'affaires de 3 millions d'euros en 2029.</w:t>
      </w:r>
    </w:p>
    <w:p>
      <w:pPr>
        <w:pStyle w:val="Heading1"/>
      </w:pPr>
      <w:r>
        <w:t>2. Axes stratégiques</w:t>
      </w:r>
    </w:p>
    <w:p>
      <w:pPr>
        <w:pStyle w:val="ListBullet"/>
      </w:pPr>
      <w:r>
        <w:t>Axe 1 : industrialiser la production de supports (livres, labs, banques de questions) avec des agents Copilot internes.</w:t>
      </w:r>
    </w:p>
    <w:p>
      <w:pPr>
        <w:pStyle w:val="ListBullet"/>
      </w:pPr>
      <w:r>
        <w:t>Axe 2 : ouvrir deux nouvelles implantations (Lyon en 2027, Lille en 2028).</w:t>
      </w:r>
    </w:p>
    <w:p>
      <w:pPr>
        <w:pStyle w:val="ListBullet"/>
      </w:pPr>
      <w:r>
        <w:t>Axe 3 : développer l'offre architecture d'entreprise (TOGAF, ArchiMate) en complément des certifications Microsoft.</w:t>
      </w:r>
    </w:p>
    <w:p>
      <w:pPr>
        <w:pStyle w:val="ListBullet"/>
      </w:pPr>
      <w:r>
        <w:t>Axe 4 : conclure trois partenariats structurants, dont ARCHIFRIDAYS.</w:t>
      </w:r>
    </w:p>
    <w:p>
      <w:pPr>
        <w:pStyle w:val="Heading1"/>
      </w:pPr>
      <w:r>
        <w:t>3. Objectifs chiffrés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Indicateur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2029</w:t>
            </w:r>
          </w:p>
        </w:tc>
      </w:tr>
      <w:tr>
        <w:tc>
          <w:tcPr>
            <w:tcW w:type="dxa" w:w="2160"/>
          </w:tcPr>
          <w:p>
            <w:r>
              <w:t>Chiffre d'affaires (millions d'euros)</w:t>
            </w:r>
          </w:p>
        </w:tc>
        <w:tc>
          <w:tcPr>
            <w:tcW w:type="dxa" w:w="2160"/>
          </w:tcPr>
          <w:p>
            <w:r>
              <w:t>2,1</w:t>
            </w:r>
          </w:p>
        </w:tc>
        <w:tc>
          <w:tcPr>
            <w:tcW w:type="dxa" w:w="2160"/>
          </w:tcPr>
          <w:p>
            <w:r>
              <w:t>2,6</w:t>
            </w:r>
          </w:p>
        </w:tc>
        <w:tc>
          <w:tcPr>
            <w:tcW w:type="dxa" w:w="2160"/>
          </w:tcPr>
          <w:p>
            <w:r>
              <w:t>3,0</w:t>
            </w:r>
          </w:p>
        </w:tc>
      </w:tr>
      <w:tr>
        <w:tc>
          <w:tcPr>
            <w:tcW w:type="dxa" w:w="2160"/>
          </w:tcPr>
          <w:p>
            <w:r>
              <w:t>Formateurs MCT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Sessions par an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270</w:t>
            </w:r>
          </w:p>
        </w:tc>
      </w:tr>
      <w:tr>
        <w:tc>
          <w:tcPr>
            <w:tcW w:type="dxa" w:w="2160"/>
          </w:tcPr>
          <w:p>
            <w:r>
              <w:t>Taux de réussite</w:t>
            </w:r>
          </w:p>
        </w:tc>
        <w:tc>
          <w:tcPr>
            <w:tcW w:type="dxa" w:w="2160"/>
          </w:tcPr>
          <w:p>
            <w:r>
              <w:t>83 %</w:t>
            </w:r>
          </w:p>
        </w:tc>
        <w:tc>
          <w:tcPr>
            <w:tcW w:type="dxa" w:w="2160"/>
          </w:tcPr>
          <w:p>
            <w:r>
              <w:t>85 %</w:t>
            </w:r>
          </w:p>
        </w:tc>
        <w:tc>
          <w:tcPr>
            <w:tcW w:type="dxa" w:w="2160"/>
          </w:tcPr>
          <w:p>
            <w:r>
              <w:t>87 %</w:t>
            </w:r>
          </w:p>
        </w:tc>
      </w:tr>
    </w:tbl>
    <w:p/>
    <w:p>
      <w:pPr>
        <w:pStyle w:val="Heading1"/>
      </w:pPr>
      <w:r>
        <w:t>4. Décisions attendues du comité de direction</w:t>
      </w:r>
    </w:p>
    <w:p>
      <w:pPr>
        <w:pStyle w:val="ListBullet"/>
      </w:pPr>
      <w:r>
        <w:t>Valider l'investissement de 180 000 euros dans l'outillage de production de contenus.</w:t>
      </w:r>
    </w:p>
    <w:p>
      <w:pPr>
        <w:pStyle w:val="ListBullet"/>
      </w:pPr>
      <w:r>
        <w:t>Arbitrer la priorité entre Lyon et Lille.</w:t>
      </w:r>
    </w:p>
    <w:p>
      <w:pPr>
        <w:pStyle w:val="ListBullet"/>
      </w:pPr>
      <w:r>
        <w:t>Approuver la politique tarifaire 2027.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Propriété intellectuelle : ARCHIA365 (Société ARCHIA365, 75008 PARIS, SIREN 990 705 055) et ARCHIALEARN. Document fictif produit pour les besoins de la formation AB-730. Toute réutilisation à des fins de formation : contact@archia365.fr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