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performance du troisième trimestre 2026</w:t>
      </w:r>
    </w:p>
    <w:p>
      <w:r>
        <w:rPr>
          <w:i/>
        </w:rPr>
        <w:t>ARCHIALEARN, activité formation certifiante Microsoft. Période du 1er juillet au 30 septembre 2026.</w:t>
      </w:r>
    </w:p>
    <w:p>
      <w:r>
        <w:t>Organisation : ARCHIALEARN (marque formation d'ARCHIA365 SAS)  |  Auteur : Rodrigue YENGO  |  Version : 1.0 du 18/09/2026</w:t>
      </w:r>
    </w:p>
    <w:p>
      <w:pPr>
        <w:pStyle w:val="Heading1"/>
      </w:pPr>
      <w:r>
        <w:t>1. Synthèse de la direction</w:t>
      </w:r>
    </w:p>
    <w:p>
      <w:r>
        <w:t>Le troisième trimestre 2026 confirme la dynamique engagée en début d'année. ARCHIALEARN a délivré 42 sessions de formation certifiante (contre 31 au T3 2025), pour 318 stagiaires formés et un chiffre d'affaires trimestriel de 486 000 euros, en progression de 27 % sur un an. Le taux de réussite aux examens Microsoft passés dans les 30 jours suivant la formation atteint 81 %, soit 4 points de mieux qu'au trimestre précédent.</w:t>
      </w:r>
    </w:p>
    <w:p>
      <w:r>
        <w:t>Trois faits marquants : le lancement de l'offre AB-730 AI Business Professional en format une journée, la montée en puissance des sessions Data Day co-animées avec ARCHIFRIDAYS, et l'obtention du renouvellement Qualiopi sans réserve.</w:t>
      </w:r>
    </w:p>
    <w:p>
      <w:pPr>
        <w:pStyle w:val="Heading1"/>
      </w:pPr>
      <w:r>
        <w:t>2. Chiffres clés du trimestre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Indicateur</w:t>
            </w:r>
          </w:p>
        </w:tc>
        <w:tc>
          <w:tcPr>
            <w:tcW w:type="dxa" w:w="1728"/>
          </w:tcPr>
          <w:p>
            <w:r>
              <w:t>T3 2025</w:t>
            </w:r>
          </w:p>
        </w:tc>
        <w:tc>
          <w:tcPr>
            <w:tcW w:type="dxa" w:w="1728"/>
          </w:tcPr>
          <w:p>
            <w:r>
              <w:t>T2 2026</w:t>
            </w:r>
          </w:p>
        </w:tc>
        <w:tc>
          <w:tcPr>
            <w:tcW w:type="dxa" w:w="1728"/>
          </w:tcPr>
          <w:p>
            <w:r>
              <w:t>T3 2026</w:t>
            </w:r>
          </w:p>
        </w:tc>
        <w:tc>
          <w:tcPr>
            <w:tcW w:type="dxa" w:w="1728"/>
          </w:tcPr>
          <w:p>
            <w:r>
              <w:t>Variation T3/T3</w:t>
            </w:r>
          </w:p>
        </w:tc>
      </w:tr>
      <w:tr>
        <w:tc>
          <w:tcPr>
            <w:tcW w:type="dxa" w:w="1728"/>
          </w:tcPr>
          <w:p>
            <w:r>
              <w:t>Sessions délivrées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+35 %</w:t>
            </w:r>
          </w:p>
        </w:tc>
      </w:tr>
      <w:tr>
        <w:tc>
          <w:tcPr>
            <w:tcW w:type="dxa" w:w="1728"/>
          </w:tcPr>
          <w:p>
            <w:r>
              <w:t>Stagiaires formés</w:t>
            </w:r>
          </w:p>
        </w:tc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+42 %</w:t>
            </w:r>
          </w:p>
        </w:tc>
      </w:tr>
      <w:tr>
        <w:tc>
          <w:tcPr>
            <w:tcW w:type="dxa" w:w="1728"/>
          </w:tcPr>
          <w:p>
            <w:r>
              <w:t>Chiffre d'affaires (euros)</w:t>
            </w:r>
          </w:p>
        </w:tc>
        <w:tc>
          <w:tcPr>
            <w:tcW w:type="dxa" w:w="1728"/>
          </w:tcPr>
          <w:p>
            <w:r>
              <w:t>383 000</w:t>
            </w:r>
          </w:p>
        </w:tc>
        <w:tc>
          <w:tcPr>
            <w:tcW w:type="dxa" w:w="1728"/>
          </w:tcPr>
          <w:p>
            <w:r>
              <w:t>451 000</w:t>
            </w:r>
          </w:p>
        </w:tc>
        <w:tc>
          <w:tcPr>
            <w:tcW w:type="dxa" w:w="1728"/>
          </w:tcPr>
          <w:p>
            <w:r>
              <w:t>486 000</w:t>
            </w:r>
          </w:p>
        </w:tc>
        <w:tc>
          <w:tcPr>
            <w:tcW w:type="dxa" w:w="1728"/>
          </w:tcPr>
          <w:p>
            <w:r>
              <w:t>+27 %</w:t>
            </w:r>
          </w:p>
        </w:tc>
      </w:tr>
      <w:tr>
        <w:tc>
          <w:tcPr>
            <w:tcW w:type="dxa" w:w="1728"/>
          </w:tcPr>
          <w:p>
            <w:r>
              <w:t>Taux de réussite certification</w:t>
            </w:r>
          </w:p>
        </w:tc>
        <w:tc>
          <w:tcPr>
            <w:tcW w:type="dxa" w:w="1728"/>
          </w:tcPr>
          <w:p>
            <w:r>
              <w:t>74 %</w:t>
            </w:r>
          </w:p>
        </w:tc>
        <w:tc>
          <w:tcPr>
            <w:tcW w:type="dxa" w:w="1728"/>
          </w:tcPr>
          <w:p>
            <w:r>
              <w:t>77 %</w:t>
            </w:r>
          </w:p>
        </w:tc>
        <w:tc>
          <w:tcPr>
            <w:tcW w:type="dxa" w:w="1728"/>
          </w:tcPr>
          <w:p>
            <w:r>
              <w:t>81 %</w:t>
            </w:r>
          </w:p>
        </w:tc>
        <w:tc>
          <w:tcPr>
            <w:tcW w:type="dxa" w:w="1728"/>
          </w:tcPr>
          <w:p>
            <w:r>
              <w:t>+7 pts</w:t>
            </w:r>
          </w:p>
        </w:tc>
      </w:tr>
      <w:tr>
        <w:tc>
          <w:tcPr>
            <w:tcW w:type="dxa" w:w="1728"/>
          </w:tcPr>
          <w:p>
            <w:r>
              <w:t>Satisfaction à chaud (sur 5)</w:t>
            </w:r>
          </w:p>
        </w:tc>
        <w:tc>
          <w:tcPr>
            <w:tcW w:type="dxa" w:w="1728"/>
          </w:tcPr>
          <w:p>
            <w:r>
              <w:t>4,4</w:t>
            </w:r>
          </w:p>
        </w:tc>
        <w:tc>
          <w:tcPr>
            <w:tcW w:type="dxa" w:w="1728"/>
          </w:tcPr>
          <w:p>
            <w:r>
              <w:t>4,6</w:t>
            </w:r>
          </w:p>
        </w:tc>
        <w:tc>
          <w:tcPr>
            <w:tcW w:type="dxa" w:w="1728"/>
          </w:tcPr>
          <w:p>
            <w:r>
              <w:t>4,7</w:t>
            </w:r>
          </w:p>
        </w:tc>
        <w:tc>
          <w:tcPr>
            <w:tcW w:type="dxa" w:w="1728"/>
          </w:tcPr>
          <w:p>
            <w:r>
              <w:t>+0,3</w:t>
            </w:r>
          </w:p>
        </w:tc>
      </w:tr>
      <w:tr>
        <w:tc>
          <w:tcPr>
            <w:tcW w:type="dxa" w:w="1728"/>
          </w:tcPr>
          <w:p>
            <w:r>
              <w:t>Taux de remplissage des sessions</w:t>
            </w:r>
          </w:p>
        </w:tc>
        <w:tc>
          <w:tcPr>
            <w:tcW w:type="dxa" w:w="1728"/>
          </w:tcPr>
          <w:p>
            <w:r>
              <w:t>68 %</w:t>
            </w:r>
          </w:p>
        </w:tc>
        <w:tc>
          <w:tcPr>
            <w:tcW w:type="dxa" w:w="1728"/>
          </w:tcPr>
          <w:p>
            <w:r>
              <w:t>79 %</w:t>
            </w:r>
          </w:p>
        </w:tc>
        <w:tc>
          <w:tcPr>
            <w:tcW w:type="dxa" w:w="1728"/>
          </w:tcPr>
          <w:p>
            <w:r>
              <w:t>84 %</w:t>
            </w:r>
          </w:p>
        </w:tc>
        <w:tc>
          <w:tcPr>
            <w:tcW w:type="dxa" w:w="1728"/>
          </w:tcPr>
          <w:p>
            <w:r>
              <w:t>+16 pts</w:t>
            </w:r>
          </w:p>
        </w:tc>
      </w:tr>
    </w:tbl>
    <w:p/>
    <w:p>
      <w:pPr>
        <w:pStyle w:val="Heading1"/>
      </w:pPr>
      <w:r>
        <w:t>3. Tendances internes des inscriptions</w:t>
      </w:r>
    </w:p>
    <w:p>
      <w:pPr>
        <w:pStyle w:val="Heading2"/>
      </w:pPr>
      <w:r>
        <w:t>3.1 Par domaine de certification</w:t>
      </w:r>
    </w:p>
    <w:p>
      <w:r>
        <w:t>Les certifications Data et IA représentent 46 % des inscriptions du trimestre (DP-600, DP-700, DP-800, AB-730), contre 33 % un an plus tôt. Le domaine Business Applications (Dynamics 365 F&amp;O, Business Central, Power Platform) reste stable à 31 %. Les fondamentaux (AZ-900, AI-900, PL-900) reculent à 23 %, les entreprises privilégiant désormais les parcours associés.</w:t>
      </w:r>
    </w:p>
    <w:p>
      <w:pPr>
        <w:pStyle w:val="Heading2"/>
      </w:pPr>
      <w:r>
        <w:t>3.2 Par canal de vente</w:t>
      </w:r>
    </w:p>
    <w:p>
      <w:r>
        <w:t>Le canal Direct (grands comptes banque, assurance, énergie) génère 52 % du chiffre d'affaires. Le canal Partenaires (ARCHIFRIDAYS, distributeurs) progresse à 29 %. Le canal Web (inscriptions en ligne, EDOF / CPF) atteint 19 % et présente le meilleur taux de conversion des demandes de devis.</w:t>
      </w:r>
    </w:p>
    <w:p>
      <w:pPr>
        <w:pStyle w:val="Heading2"/>
      </w:pPr>
      <w:r>
        <w:t>3.3 Par région</w:t>
      </w:r>
    </w:p>
    <w:p>
      <w:r>
        <w:t>L'Île-de-France concentre 58 % des stagiaires. Les régions Auvergne-Rhône-Alpes (Lyon) et Hauts-de-France (Lille) progressent grâce aux sessions à distance. Le Grand Est et la Nouvelle-Aquitaine restent des zones de prospection.</w:t>
      </w:r>
    </w:p>
    <w:p>
      <w:pPr>
        <w:pStyle w:val="Heading1"/>
      </w:pPr>
      <w:r>
        <w:t>4. Décisions prises au trimestre</w:t>
      </w:r>
    </w:p>
    <w:p>
      <w:pPr>
        <w:pStyle w:val="ListBullet"/>
      </w:pPr>
      <w:r>
        <w:t>Généraliser le format une journée pour les certifications de niveau Professional (AB-730 en premier).</w:t>
      </w:r>
    </w:p>
    <w:p>
      <w:pPr>
        <w:pStyle w:val="ListBullet"/>
      </w:pPr>
      <w:r>
        <w:t>Recruter deux formateurs certifiés MCT supplémentaires sur le domaine Data et IA d'ici décembre 2026.</w:t>
      </w:r>
    </w:p>
    <w:p>
      <w:pPr>
        <w:pStyle w:val="ListBullet"/>
      </w:pPr>
      <w:r>
        <w:t>Ouvrir une session mensuelle DP-800 à distance à partir d'octobre 2026.</w:t>
      </w:r>
    </w:p>
    <w:p>
      <w:pPr>
        <w:pStyle w:val="ListBullet"/>
      </w:pPr>
      <w:r>
        <w:t>Étendre le partenariat ARCHIFRIDAYS aux sessions Business Central.</w:t>
      </w:r>
    </w:p>
    <w:p>
      <w:pPr>
        <w:pStyle w:val="Heading1"/>
      </w:pPr>
      <w:r>
        <w:t>5. Risques identifiés</w:t>
      </w:r>
    </w:p>
    <w:p>
      <w:pPr>
        <w:pStyle w:val="ListBullet"/>
      </w:pPr>
      <w:r>
        <w:t>Dépendance au canal Direct : trois clients représentent 34 % du chiffre d'affaires.</w:t>
      </w:r>
    </w:p>
    <w:p>
      <w:pPr>
        <w:pStyle w:val="ListBullet"/>
      </w:pPr>
      <w:r>
        <w:t>Évolution rapide des programmes d'examen Microsoft : effort de mise à jour des supports estimé à 12 jours-homme par trimestre.</w:t>
      </w:r>
    </w:p>
    <w:p>
      <w:pPr>
        <w:pStyle w:val="ListBullet"/>
      </w:pPr>
      <w:r>
        <w:t>Tension sur la disponibilité des formateurs MCT en novembre et décembre.</w:t>
      </w:r>
    </w:p>
    <w:p>
      <w:pPr>
        <w:pStyle w:val="ListBullet"/>
      </w:pPr>
      <w:r>
        <w:t>Délai moyen de paiement des OPCO en hausse à 58 jours.</w:t>
      </w:r>
    </w:p>
    <w:p>
      <w:pPr>
        <w:pStyle w:val="Heading1"/>
      </w:pPr>
      <w:r>
        <w:t>6. Prochaines étapes pour le quatrième trimestre</w:t>
      </w:r>
    </w:p>
    <w:p>
      <w:pPr>
        <w:pStyle w:val="ListBullet"/>
      </w:pPr>
      <w:r>
        <w:t>Lancer la campagne AB-730 auprès des directions métiers (objectif : 8 sessions au T4).</w:t>
      </w:r>
    </w:p>
    <w:p>
      <w:pPr>
        <w:pStyle w:val="ListBullet"/>
      </w:pPr>
      <w:r>
        <w:t>Finaliser le kit de labs et la banque de questions de chaque certification.</w:t>
      </w:r>
    </w:p>
    <w:p>
      <w:pPr>
        <w:pStyle w:val="ListBullet"/>
      </w:pPr>
      <w:r>
        <w:t>Déployer les agents Copilot internes (Assistant Réunions, Assistant Qualiopi).</w:t>
      </w:r>
    </w:p>
    <w:p>
      <w:pPr>
        <w:pStyle w:val="ListBullet"/>
      </w:pPr>
      <w:r>
        <w:t>Préparer le budget 2027 avec un objectif de croissance de 20 %.</w:t>
      </w:r>
    </w:p>
    <w:p>
      <w:pPr>
        <w:pStyle w:val="Heading1"/>
      </w:pPr>
      <w:r>
        <w:t>7. Annexe : calendrier des sessions du T3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Certification</w:t>
            </w:r>
          </w:p>
        </w:tc>
        <w:tc>
          <w:tcPr>
            <w:tcW w:type="dxa" w:w="2160"/>
          </w:tcPr>
          <w:p>
            <w:r>
              <w:t>Ville / Distance</w:t>
            </w:r>
          </w:p>
        </w:tc>
        <w:tc>
          <w:tcPr>
            <w:tcW w:type="dxa" w:w="2160"/>
          </w:tcPr>
          <w:p>
            <w:r>
              <w:t>Stagiaires</w:t>
            </w:r>
          </w:p>
        </w:tc>
      </w:tr>
      <w:tr>
        <w:tc>
          <w:tcPr>
            <w:tcW w:type="dxa" w:w="2160"/>
          </w:tcPr>
          <w:p>
            <w:r>
              <w:t>07/07/2026</w:t>
            </w:r>
          </w:p>
        </w:tc>
        <w:tc>
          <w:tcPr>
            <w:tcW w:type="dxa" w:w="2160"/>
          </w:tcPr>
          <w:p>
            <w:r>
              <w:t>DP-600</w:t>
            </w:r>
          </w:p>
        </w:tc>
        <w:tc>
          <w:tcPr>
            <w:tcW w:type="dxa" w:w="2160"/>
          </w:tcPr>
          <w:p>
            <w:r>
              <w:t>Paris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15/07/2026</w:t>
            </w:r>
          </w:p>
        </w:tc>
        <w:tc>
          <w:tcPr>
            <w:tcW w:type="dxa" w:w="2160"/>
          </w:tcPr>
          <w:p>
            <w:r>
              <w:t>PL-300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22/07/2026</w:t>
            </w:r>
          </w:p>
        </w:tc>
        <w:tc>
          <w:tcPr>
            <w:tcW w:type="dxa" w:w="2160"/>
          </w:tcPr>
          <w:p>
            <w:r>
              <w:t>AZ-900</w:t>
            </w:r>
          </w:p>
        </w:tc>
        <w:tc>
          <w:tcPr>
            <w:tcW w:type="dxa" w:w="2160"/>
          </w:tcPr>
          <w:p>
            <w:r>
              <w:t>Lyon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02/09/2026</w:t>
            </w:r>
          </w:p>
        </w:tc>
        <w:tc>
          <w:tcPr>
            <w:tcW w:type="dxa" w:w="2160"/>
          </w:tcPr>
          <w:p>
            <w:r>
              <w:t>DP-700</w:t>
            </w:r>
          </w:p>
        </w:tc>
        <w:tc>
          <w:tcPr>
            <w:tcW w:type="dxa" w:w="2160"/>
          </w:tcPr>
          <w:p>
            <w:r>
              <w:t>Paris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09/09/2026</w:t>
            </w:r>
          </w:p>
        </w:tc>
        <w:tc>
          <w:tcPr>
            <w:tcW w:type="dxa" w:w="2160"/>
          </w:tcPr>
          <w:p>
            <w:r>
              <w:t>MB-330</w:t>
            </w:r>
          </w:p>
        </w:tc>
        <w:tc>
          <w:tcPr>
            <w:tcW w:type="dxa" w:w="2160"/>
          </w:tcPr>
          <w:p>
            <w:r>
              <w:t>Distance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18/09/2026</w:t>
            </w:r>
          </w:p>
        </w:tc>
        <w:tc>
          <w:tcPr>
            <w:tcW w:type="dxa" w:w="2160"/>
          </w:tcPr>
          <w:p>
            <w:r>
              <w:t>AB-730</w:t>
            </w:r>
          </w:p>
        </w:tc>
        <w:tc>
          <w:tcPr>
            <w:tcW w:type="dxa" w:w="2160"/>
          </w:tcPr>
          <w:p>
            <w:r>
              <w:t>Paris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Propriété intellectuelle : ARCHIA365 (Société ARCHIA365, 75008 PARIS, SIREN 990 705 055) et ARCHIALEARN. Document fictif produit pour les besoins de la formation AB-730. Toute réutilisation à des fins de formation : contact@archia365.fr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