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Dynamics</w:t>
      </w:r>
      <w:r>
        <w:t xml:space="preserve"> </w:t>
      </w:r>
      <w:r>
        <w:t xml:space="preserve">365</w:t>
      </w:r>
      <w:r>
        <w:t xml:space="preserve"> </w:t>
      </w:r>
      <w:r>
        <w:t xml:space="preserve">Sales</w:t>
      </w:r>
      <w:r>
        <w:t xml:space="preserve"> </w:t>
      </w:r>
      <w:r>
        <w:t xml:space="preserve">training</w:t>
      </w:r>
      <w:r>
        <w:t xml:space="preserve"> </w:t>
      </w:r>
      <w:r>
        <w:t xml:space="preserve">kit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  <w:r>
        <w:t xml:space="preserve"> </w:t>
      </w:r>
      <w:r>
        <w:t xml:space="preserve">level</w:t>
      </w:r>
      <w:r>
        <w:t xml:space="preserve"> </w:t>
      </w:r>
      <w:r>
        <w:t xml:space="preserve">·</w:t>
      </w:r>
      <w:r>
        <w:t xml:space="preserve"> </w:t>
      </w:r>
      <w:r>
        <w:t xml:space="preserve">2</w:t>
      </w:r>
      <w:r>
        <w:t xml:space="preserve"> </w:t>
      </w:r>
      <w:r>
        <w:t xml:space="preserve">days</w:t>
      </w:r>
      <w:r>
        <w:t xml:space="preserve"> </w:t>
      </w:r>
      <w:r>
        <w:t xml:space="preserve">on</w:t>
      </w:r>
      <w:r>
        <w:t xml:space="preserve"> </w:t>
      </w:r>
      <w:r>
        <w:t xml:space="preserve">site</w:t>
      </w:r>
      <w:r>
        <w:t xml:space="preserve"> </w:t>
      </w:r>
      <w:r>
        <w:t xml:space="preserve">·</w:t>
      </w:r>
      <w:r>
        <w:t xml:space="preserve"> </w:t>
      </w:r>
      <w:r>
        <w:t xml:space="preserve">ARCHIFRIDAYS</w:t>
      </w:r>
      <w:r>
        <w:t xml:space="preserve"> </w:t>
      </w:r>
      <w:r>
        <w:t xml:space="preserve">running</w:t>
      </w:r>
      <w:r>
        <w:t xml:space="preserve"> </w:t>
      </w:r>
      <w:r>
        <w:t xml:space="preserve">case</w:t>
      </w:r>
    </w:p>
    <w:p>
      <w:pPr>
        <w:pStyle w:val="Author"/>
      </w:pPr>
      <w:r>
        <w:t xml:space="preserve">ARCHIA365</w:t>
      </w:r>
    </w:p>
    <w:p>
      <w:pPr>
        <w:pStyle w:val="FirstParagraph"/>
      </w:pPr>
      <w:r>
        <w:t xml:space="preserve">This folder contains everything needed to prepare, deliver and assess the training. All organisations, people and data in the running case are fictitious.</w:t>
      </w:r>
    </w:p>
    <w:bookmarkStart w:id="20" w:name="how-the-kit-is-organised"/>
    <w:p>
      <w:pPr>
        <w:pStyle w:val="Heading1"/>
      </w:pPr>
      <w:r>
        <w:t xml:space="preserve">How the kit is organised</w:t>
      </w:r>
    </w:p>
    <w:p>
      <w:pPr>
        <w:pStyle w:val="FirstParagraph"/>
      </w:pPr>
      <w:r>
        <w:t xml:space="preserve">The kit comes in two languages: the</w:t>
      </w:r>
      <w:r>
        <w:t xml:space="preserve"> </w:t>
      </w:r>
      <w:r>
        <w:rPr>
          <w:bCs/>
          <w:b/>
        </w:rPr>
        <w:t xml:space="preserve">FR</w:t>
      </w:r>
      <w:r>
        <w:t xml:space="preserve"> </w:t>
      </w:r>
      <w:r>
        <w:t xml:space="preserve">folder holds the French version and the</w:t>
      </w:r>
      <w:r>
        <w:t xml:space="preserve"> </w:t>
      </w:r>
      <w:r>
        <w:rPr>
          <w:bCs/>
          <w:b/>
        </w:rPr>
        <w:t xml:space="preserve">EN</w:t>
      </w:r>
      <w:r>
        <w:t xml:space="preserve"> </w:t>
      </w:r>
      <w:r>
        <w:t xml:space="preserve">folder the English version, with the same structure. Each document is provided in three formats: Word (DOCX) for editing, PDF for distribution and Markdown (MD) for reuse in a wiki, a Git repository or a documentation tool. Images used by the Markdown files sit next to them.</w:t>
      </w:r>
    </w:p>
    <w:bookmarkEnd w:id="20"/>
    <w:bookmarkStart w:id="21" w:name="contents-of-the-en-folder"/>
    <w:p>
      <w:pPr>
        <w:pStyle w:val="Heading1"/>
      </w:pPr>
      <w:r>
        <w:t xml:space="preserve">Contents of the EN folder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222"/>
        <w:gridCol w:w="2348"/>
        <w:gridCol w:w="4706"/>
        <w:gridCol w:w="1359"/>
      </w:tblGrid>
      <w:tr>
        <w:trPr>
          <w:tblHeader w:val="true"/>
          <w:tblHeader w:val="true"/>
        </w:trPr>
        <w:tc>
          <w:tcPr>
            <w:tcW w:type="dxa" w:w="1223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Folder</w:t>
            </w:r>
          </w:p>
        </w:tc>
        <w:tc>
          <w:tcPr>
            <w:tcW w:type="dxa" w:w="2349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File</w:t>
            </w:r>
          </w:p>
        </w:tc>
        <w:tc>
          <w:tcPr>
            <w:tcW w:type="dxa" w:w="4706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tcW w:type="dxa" w:w="1360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Audience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01_Training_Programme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Training_Programme_D365_Sales_PO_BA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Detailed programme and schedule, response to Hager’s feedback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Client, participants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02_Running_Case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Running_Case_ARCHIFRIDAYS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Full scenario: group, stakeholders, data, episodes, pipeline, answer keys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03_Trainer_Guide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Trainer_Guide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Preparation (including the alignment call with Hager), Hager context, demo configuration, minute-by-minute flow, time management, FAQ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03_Trainer_Guide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Trainer_Recap_Sheets (DOCX, PDF, MD)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sheet per module and per workshop: client focus, EN / FR vocabulary, essential concepts, link to the Hager context, key message, best practice, PO angle, watch out, Say it in English, questions to ask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04_Participant_Materials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Participant_Workbook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Exercises for each episode and how to apply them to Hager, without answers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Participants (to print)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04_Participant_Materials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Module_Summary_Sheets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sheet per module: standard, rationale, good practices, questions for the PO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Participants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05_Dataset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Dataset_ARCHIFRIDAYS.xlsx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All running case data, with import order and points of attention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05_Dataset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CSV_Dataverse_import (14 files)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Files ready to import into the demo environment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06_Workshops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Workshop_Fit_Gap.xlsx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Fit-gap grid: ARCHIFRIDAYS answer key, Hager grid to complete, calculated summary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Participants (workshops 1 and 2)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06_Workshops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Forecast_and_KPI_Exercise_Q4_participants.xlsx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Q4 pipeline, calculated forecast summary, landing, KPIs to define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Participants (episode 7)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06_Workshops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Forecast_and_KPI_Exercise_Q4_trainer.xlsx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Same workbook with the landing answer key and the 8 KPI reference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07_Assessment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Pre_and_Post_Quiz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15 questions, taken at the opening and at the wrap-up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Participants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07_Assessment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Quiz_Answer_Key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Answers and explanations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07_Assessment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Satisfaction_Survey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End-of-course evaluation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Participants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08_Slides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Slides_D365_Sales_PO_BA (PPTX, PDF)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Slides projected over the 2 days (about 70 slides, including an EN / FR glossary for each module); each slide’s notes contain the teleprompter script to read, the key message, a watch-out point, the PO angle, Say it in English phrasing and questions to ask the group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  <w:tr>
        <w:tc>
          <w:tcPr>
            <w:tcW w:type="dxa" w:w="122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08_Slides</w:t>
            </w:r>
          </w:p>
        </w:tc>
        <w:tc>
          <w:tcPr>
            <w:tcW w:type="dxa" w:w="2349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Teleprompter_Script_D365_Sales_PO_BA (MD)</w:t>
            </w:r>
          </w:p>
        </w:tc>
        <w:tc>
          <w:tcPr>
            <w:tcW w:type="dxa" w:w="470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Full teleprompter text, slide by slide, for rehearsal or printing</w:t>
            </w:r>
          </w:p>
        </w:tc>
        <w:tc>
          <w:tcPr>
            <w:tcW w:type="dxa" w:w="1360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Trainer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Using the teleprompter notes.</w:t>
      </w:r>
      <w:r>
        <w:t xml:space="preserve"> </w:t>
      </w:r>
      <w:r>
        <w:t xml:space="preserve">In PowerPoint, start the slide show in Presenter View: the notes appear on the trainer’s screen. The text is written to be read as is; cues in square brackets (for example [Demo], [Break], [Ask the group]) are stage directions, not to be read aloud. Below the script, the notes recall the key message, the watch-out point, the PO angle, the Say it in English phrasing and the questions to ask.</w:t>
      </w:r>
    </w:p>
    <w:bookmarkEnd w:id="21"/>
    <w:bookmarkStart w:id="22" w:name="importing-the-dataset"/>
    <w:p>
      <w:pPr>
        <w:pStyle w:val="Heading1"/>
      </w:pPr>
      <w:r>
        <w:t xml:space="preserve">Importing the dataset</w:t>
      </w:r>
    </w:p>
    <w:p>
      <w:pPr>
        <w:pStyle w:val="FirstParagraph"/>
      </w:pPr>
      <w:r>
        <w:t xml:space="preserve">The CSV files use a semicolon separator and UTF-8 encoding. Headers use the English display names of Dynamics 365 Sales to make mapping easier in the import wizard. The</w:t>
      </w:r>
      <w:r>
        <w:t xml:space="preserve"> </w:t>
      </w:r>
      <w:r>
        <w:t xml:space="preserve">“</w:t>
      </w:r>
      <w:r>
        <w:t xml:space="preserve">Profile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Booth note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Expected handling in training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Role in the scenario</w:t>
      </w:r>
      <w:r>
        <w:t xml:space="preserve">”</w:t>
      </w:r>
      <w:r>
        <w:t xml:space="preserve"> </w:t>
      </w:r>
      <w:r>
        <w:t xml:space="preserve">columns are trainer aids: ignore them when mapping or import them into the description.</w:t>
      </w:r>
    </w:p>
    <w:p>
      <w:pPr>
        <w:pStyle w:val="BodyText"/>
      </w:pPr>
      <w:r>
        <w:rPr>
          <w:bCs/>
          <w:b/>
        </w:rPr>
        <w:t xml:space="preserve">Recommended order</w:t>
      </w:r>
    </w:p>
    <w:p>
      <w:pPr>
        <w:numPr>
          <w:ilvl w:val="0"/>
          <w:numId w:val="1001"/>
        </w:numPr>
        <w:pStyle w:val="Compact"/>
      </w:pPr>
      <w:r>
        <w:t xml:space="preserve">Users, business units and teams (created manually): 01_Users_and_teams.</w:t>
      </w:r>
    </w:p>
    <w:p>
      <w:pPr>
        <w:numPr>
          <w:ilvl w:val="0"/>
          <w:numId w:val="1001"/>
        </w:numPr>
        <w:pStyle w:val="Compact"/>
      </w:pPr>
      <w:r>
        <w:t xml:space="preserve">Unit groups and units (02), products (03), price lists (04) and price list items (05); publish the products.</w:t>
      </w:r>
    </w:p>
    <w:p>
      <w:pPr>
        <w:numPr>
          <w:ilvl w:val="0"/>
          <w:numId w:val="1001"/>
        </w:numPr>
        <w:pStyle w:val="Compact"/>
      </w:pPr>
      <w:r>
        <w:t xml:space="preserve">Accounts (06): first the accounts without a parent, then Distelec Sud-Est.</w:t>
      </w:r>
    </w:p>
    <w:p>
      <w:pPr>
        <w:numPr>
          <w:ilvl w:val="0"/>
          <w:numId w:val="1001"/>
        </w:numPr>
        <w:pStyle w:val="Compact"/>
      </w:pPr>
      <w:r>
        <w:t xml:space="preserve">Contacts (07), then competitors (08).</w:t>
      </w:r>
    </w:p>
    <w:p>
      <w:pPr>
        <w:numPr>
          <w:ilvl w:val="0"/>
          <w:numId w:val="1001"/>
        </w:numPr>
        <w:pStyle w:val="Compact"/>
      </w:pPr>
      <w:r>
        <w:t xml:space="preserve">Campaign</w:t>
      </w:r>
      <w:r>
        <w:t xml:space="preserve"> </w:t>
      </w:r>
      <w:r>
        <w:t xml:space="preserve">“</w:t>
      </w:r>
      <w:r>
        <w:t xml:space="preserve">BâtiExpo Lyon 2026</w:t>
      </w:r>
      <w:r>
        <w:t xml:space="preserve">”</w:t>
      </w:r>
      <w:r>
        <w:t xml:space="preserve"> </w:t>
      </w:r>
      <w:r>
        <w:t xml:space="preserve">(created manually), then trade show leads (09).</w:t>
      </w:r>
    </w:p>
    <w:p>
      <w:pPr>
        <w:numPr>
          <w:ilvl w:val="0"/>
          <w:numId w:val="1001"/>
        </w:numPr>
        <w:pStyle w:val="Compact"/>
      </w:pPr>
      <w:r>
        <w:t xml:space="preserve">Opportunities (10) and opportunity products (11); quotes (12) created from the opportunity to keep the revisions.</w:t>
      </w:r>
    </w:p>
    <w:p>
      <w:pPr>
        <w:numPr>
          <w:ilvl w:val="0"/>
          <w:numId w:val="1001"/>
        </w:numPr>
        <w:pStyle w:val="Compact"/>
      </w:pPr>
      <w:r>
        <w:t xml:space="preserve">Campus Lumière activities (13), goals (14), then forecast configuration.</w:t>
      </w:r>
    </w:p>
    <w:p>
      <w:pPr>
        <w:pStyle w:val="FirstParagraph"/>
      </w:pPr>
      <w:r>
        <w:rPr>
          <w:bCs/>
          <w:b/>
        </w:rPr>
        <w:t xml:space="preserve">Points of attention</w:t>
      </w:r>
    </w:p>
    <w:p>
      <w:pPr>
        <w:numPr>
          <w:ilvl w:val="0"/>
          <w:numId w:val="1002"/>
        </w:numPr>
        <w:pStyle w:val="Compact"/>
      </w:pPr>
      <w:r>
        <w:t xml:space="preserve">Inès Garnier’s lead appears twice (deliberate duplicate) and her contact already exists: duplicate detection is demonstrated in episode 4.</w:t>
      </w:r>
    </w:p>
    <w:p>
      <w:pPr>
        <w:numPr>
          <w:ilvl w:val="0"/>
          <w:numId w:val="1002"/>
        </w:numPr>
        <w:pStyle w:val="Compact"/>
      </w:pPr>
      <w:r>
        <w:t xml:space="preserve">Do not add any activity on Campus Lumière after 26/10/2026: the 21-day silence is the subject of episode 6 (reference date: Monday 16/11/2026).</w:t>
      </w:r>
    </w:p>
    <w:p>
      <w:pPr>
        <w:numPr>
          <w:ilvl w:val="0"/>
          <w:numId w:val="1002"/>
        </w:numPr>
        <w:pStyle w:val="Compact"/>
      </w:pPr>
      <w:r>
        <w:t xml:space="preserve">Reference amounts: Campus Lumière 429,700 € at list price, quote V1 365,245 €, quote V2 343,760 €; South-East target 1,600,000 €.</w:t>
      </w:r>
    </w:p>
    <w:bookmarkEnd w:id="22"/>
    <w:bookmarkStart w:id="23" w:name="before-using-the-kit"/>
    <w:p>
      <w:pPr>
        <w:pStyle w:val="Heading1"/>
      </w:pPr>
      <w:r>
        <w:t xml:space="preserve">Before using the kit</w:t>
      </w:r>
    </w:p>
    <w:p>
      <w:pPr>
        <w:numPr>
          <w:ilvl w:val="0"/>
          <w:numId w:val="1003"/>
        </w:numPr>
        <w:pStyle w:val="Compact"/>
      </w:pPr>
      <w:r>
        <w:t xml:space="preserve">In the week before the session, check how features are split across licences and what the current release wave brings.</w:t>
      </w:r>
    </w:p>
    <w:p>
      <w:pPr>
        <w:numPr>
          <w:ilvl w:val="0"/>
          <w:numId w:val="1003"/>
        </w:numPr>
        <w:pStyle w:val="Compact"/>
      </w:pPr>
      <w:r>
        <w:t xml:space="preserve">Give participants the</w:t>
      </w:r>
      <w:r>
        <w:t xml:space="preserve"> </w:t>
      </w:r>
      <w:r>
        <w:t xml:space="preserve">“</w:t>
      </w:r>
      <w:r>
        <w:t xml:space="preserve">participants</w:t>
      </w:r>
      <w:r>
        <w:t xml:space="preserve">”</w:t>
      </w:r>
      <w:r>
        <w:t xml:space="preserve"> </w:t>
      </w:r>
      <w:r>
        <w:t xml:space="preserve">version of the forecast workbook; the</w:t>
      </w:r>
      <w:r>
        <w:t xml:space="preserve"> </w:t>
      </w:r>
      <w:r>
        <w:t xml:space="preserve">“</w:t>
      </w:r>
      <w:r>
        <w:t xml:space="preserve">trainer</w:t>
      </w:r>
      <w:r>
        <w:t xml:space="preserve">”</w:t>
      </w:r>
      <w:r>
        <w:t xml:space="preserve"> </w:t>
      </w:r>
      <w:r>
        <w:t xml:space="preserve">version contains the answer keys.</w:t>
      </w:r>
    </w:p>
    <w:p>
      <w:pPr>
        <w:numPr>
          <w:ilvl w:val="0"/>
          <w:numId w:val="1003"/>
        </w:numPr>
        <w:pStyle w:val="Compact"/>
      </w:pPr>
      <w:r>
        <w:t xml:space="preserve">Adapt the Hager examples using the information received and the alignment call (see the trainer guide).</w:t>
      </w:r>
    </w:p>
    <w:bookmarkEnd w:id="23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ARCHIA365 · Dynamics 365 Sales training, Product Owner / Business Analyst level  ·  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80"/>
      <w:jc w:val="center"/>
    </w:pPr>
    <w:rPr>
      <w:rFonts w:ascii="Calibri" w:cs="Calibri" w:eastAsia="Calibri" w:hAnsi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2.xml"/><Relationship Id="rId5" Type="http://schemas.openxmlformats.org/officeDocument/2006/relationships/fontTable" Target="fontTable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5964E25350F4FB3FE643AE11B2B20" ma:contentTypeVersion="11" ma:contentTypeDescription="Crée un document." ma:contentTypeScope="" ma:versionID="e7f39a783ac8ecc05738e5ff5477c03a">
  <xsd:schema xmlns:xsd="http://www.w3.org/2001/XMLSchema" xmlns:xs="http://www.w3.org/2001/XMLSchema" xmlns:p="http://schemas.microsoft.com/office/2006/metadata/properties" xmlns:ns2="d9df9240-fc95-4deb-9c9d-de700c44a7a7" xmlns:ns3="33363a87-7e43-46da-9332-4c6d176b06e4" targetNamespace="http://schemas.microsoft.com/office/2006/metadata/properties" ma:root="true" ma:fieldsID="1f2644dde6637e6a93862dcbdf794115" ns2:_="" ns3:_="">
    <xsd:import namespace="d9df9240-fc95-4deb-9c9d-de700c44a7a7"/>
    <xsd:import namespace="33363a87-7e43-46da-9332-4c6d176b06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f9240-fc95-4deb-9c9d-de700c44a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4ef1542d-73bf-4483-a10a-dd7f0542ff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63a87-7e43-46da-9332-4c6d176b06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c4884d-0209-46c7-838c-3dc439699bfd}" ma:internalName="TaxCatchAll" ma:showField="CatchAllData" ma:web="33363a87-7e43-46da-9332-4c6d176b06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363a87-7e43-46da-9332-4c6d176b06e4" xsi:nil="true"/>
    <lcf76f155ced4ddcb4097134ff3c332f xmlns="d9df9240-fc95-4deb-9c9d-de700c44a7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A2D110-119B-4EC2-8304-E56E346D92C0}"/>
</file>

<file path=customXml/itemProps2.xml><?xml version="1.0" encoding="utf-8"?>
<ds:datastoreItem xmlns:ds="http://schemas.openxmlformats.org/officeDocument/2006/customXml" ds:itemID="{B78D60B7-D368-4A7E-B814-A8AACD7E2218}"/>
</file>

<file path=customXml/itemProps3.xml><?xml version="1.0" encoding="utf-8"?>
<ds:datastoreItem xmlns:ds="http://schemas.openxmlformats.org/officeDocument/2006/customXml" ds:itemID="{E99046B0-4D5C-4746-80E0-BA2C54ECEC4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Dynamics 365 Sales training kit</dc:title>
  <dc:creator>ARCHIA365</dc:creator>
  <cp:keywords/>
  <dcterms:created xsi:type="dcterms:W3CDTF">2026-10-12T11:25:47Z</dcterms:created>
  <dcterms:modified xsi:type="dcterms:W3CDTF">2026-10-12T11:25:47Z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Owner / Business Analyst level · 2 days on site · ARCHIFRIDAYS running case</vt:lpwstr>
  </property>
  <property fmtid="{D5CDD505-2E9C-101B-9397-08002B2CF9AE}" pid="3" name="ContentTypeId">
    <vt:lpwstr>0x0101000085964E25350F4FB3FE643AE11B2B20</vt:lpwstr>
  </property>
</Properties>
</file>