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word/footnotes.xml" ContentType="application/vnd.openxmlformats-officedocument.wordprocessingml.footnotes+xml"/>
  <Override PartName="/word/comments.xml" ContentType="application/vnd.openxmlformats-officedocument.wordprocessingml.comments+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Dynamics</w:t>
      </w:r>
      <w:r>
        <w:t xml:space="preserve"> </w:t>
      </w:r>
      <w:r>
        <w:t xml:space="preserve">365</w:t>
      </w:r>
      <w:r>
        <w:t xml:space="preserve"> </w:t>
      </w:r>
      <w:r>
        <w:t xml:space="preserve">Sales</w:t>
      </w:r>
      <w:r>
        <w:t xml:space="preserve"> </w:t>
      </w:r>
      <w:r>
        <w:t xml:space="preserve">Training</w:t>
      </w:r>
      <w:r>
        <w:t xml:space="preserve"> </w:t>
      </w:r>
      <w:r>
        <w:t xml:space="preserve">Programme</w:t>
      </w:r>
    </w:p>
    <w:p>
      <w:pPr>
        <w:pStyle w:val="Subtitle"/>
      </w:pPr>
      <w:r>
        <w:t xml:space="preserve">Product</w:t>
      </w:r>
      <w:r>
        <w:t xml:space="preserve"> </w:t>
      </w:r>
      <w:r>
        <w:t xml:space="preserve">Owner</w:t>
      </w:r>
      <w:r>
        <w:t xml:space="preserve"> </w:t>
      </w:r>
      <w:r>
        <w:t xml:space="preserve">/</w:t>
      </w:r>
      <w:r>
        <w:t xml:space="preserve"> </w:t>
      </w:r>
      <w:r>
        <w:t xml:space="preserve">Business</w:t>
      </w:r>
      <w:r>
        <w:t xml:space="preserve"> </w:t>
      </w:r>
      <w:r>
        <w:t xml:space="preserve">Analyst</w:t>
      </w:r>
      <w:r>
        <w:t xml:space="preserve"> </w:t>
      </w:r>
      <w:r>
        <w:t xml:space="preserve">level</w:t>
      </w:r>
      <w:r>
        <w:t xml:space="preserve"> </w:t>
      </w:r>
      <w:r>
        <w:t xml:space="preserve">·</w:t>
      </w:r>
      <w:r>
        <w:t xml:space="preserve"> </w:t>
      </w:r>
      <w:r>
        <w:t xml:space="preserve">2</w:t>
      </w:r>
      <w:r>
        <w:t xml:space="preserve"> </w:t>
      </w:r>
      <w:r>
        <w:t xml:space="preserve">days</w:t>
      </w:r>
      <w:r>
        <w:t xml:space="preserve"> </w:t>
      </w:r>
      <w:r>
        <w:t xml:space="preserve">on</w:t>
      </w:r>
      <w:r>
        <w:t xml:space="preserve"> </w:t>
      </w:r>
      <w:r>
        <w:t xml:space="preserve">site</w:t>
      </w:r>
      <w:r>
        <w:t xml:space="preserve"> </w:t>
      </w:r>
      <w:r>
        <w:t xml:space="preserve">(14</w:t>
      </w:r>
      <w:r>
        <w:t xml:space="preserve"> </w:t>
      </w:r>
      <w:r>
        <w:t xml:space="preserve">hours)</w:t>
      </w:r>
    </w:p>
    <w:p>
      <w:pPr>
        <w:pStyle w:val="Author"/>
      </w:pPr>
      <w:r>
        <w:t xml:space="preserve">ARCHIA365</w:t>
      </w:r>
    </w:p>
    <w:bookmarkStart w:id="20" w:name="context-and-positioning"/>
    <w:p>
      <w:pPr>
        <w:pStyle w:val="Heading1"/>
      </w:pPr>
      <w:r>
        <w:t xml:space="preserve">Context and positioning</w:t>
      </w:r>
    </w:p>
    <w:p>
      <w:pPr>
        <w:pStyle w:val="FirstParagraph"/>
      </w:pPr>
      <w:r>
        <w:t xml:space="preserve">This 2-day on-site training course (14 hours) is designed for the Product Owners and Business Analysts of the Hager CRM team. It does not cover user navigation, administration or development: its aim is to build an understanding of standard Dynamics 365 Sales, of Microsoft’s design choices and of the gaps with the Hager CRM.</w:t>
      </w:r>
    </w:p>
    <w:p>
      <w:pPr>
        <w:numPr>
          <w:ilvl w:val="0"/>
          <w:numId w:val="1001"/>
        </w:numPr>
        <w:pStyle w:val="Compact"/>
      </w:pPr>
      <w:r>
        <w:rPr>
          <w:bCs/>
          <w:b/>
        </w:rPr>
        <w:t xml:space="preserve">Audience:</w:t>
      </w:r>
      <w:r>
        <w:t xml:space="preserve"> </w:t>
      </w:r>
      <w:r>
        <w:t xml:space="preserve">Product Owners, Business Analysts, CRM business leads (8 to 10 participants recommended).</w:t>
      </w:r>
    </w:p>
    <w:p>
      <w:pPr>
        <w:numPr>
          <w:ilvl w:val="0"/>
          <w:numId w:val="1001"/>
        </w:numPr>
        <w:pStyle w:val="Compact"/>
      </w:pPr>
      <w:r>
        <w:rPr>
          <w:bCs/>
          <w:b/>
        </w:rPr>
        <w:t xml:space="preserve">Format:</w:t>
      </w:r>
      <w:r>
        <w:t xml:space="preserve"> </w:t>
      </w:r>
      <w:r>
        <w:t xml:space="preserve">2 days on site, 9:00 to 17:30, approximately 30% demonstrations, 40% presentations and 30% workshops.</w:t>
      </w:r>
    </w:p>
    <w:p>
      <w:pPr>
        <w:numPr>
          <w:ilvl w:val="0"/>
          <w:numId w:val="1001"/>
        </w:numPr>
        <w:pStyle w:val="Compact"/>
      </w:pPr>
      <w:r>
        <w:rPr>
          <w:bCs/>
          <w:b/>
        </w:rPr>
        <w:t xml:space="preserve">Running case:</w:t>
      </w:r>
      <w:r>
        <w:t xml:space="preserve"> </w:t>
      </w:r>
      <w:r>
        <w:t xml:space="preserve">ARCHIFRIDAYS, a fictitious international group operating in the same field as Hager Group: solutions and services for electrical installations (power distribution, building management, e-mobility). It sells through distributors, works with installers and specifiers (engineering consultancies, property developers) and manages commercial building projects and key accounts. Like Hager, it sells through two channels:</w:t>
      </w:r>
      <w:r>
        <w:t xml:space="preserve"> </w:t>
      </w:r>
      <w:r>
        <w:rPr>
          <w:bCs/>
          <w:b/>
        </w:rPr>
        <w:t xml:space="preserve">Diffuse</w:t>
      </w:r>
      <w:r>
        <w:t xml:space="preserve"> </w:t>
      </w:r>
      <w:r>
        <w:t xml:space="preserve">(account management for installers and distributors) and</w:t>
      </w:r>
      <w:r>
        <w:t xml:space="preserve"> </w:t>
      </w:r>
      <w:r>
        <w:rPr>
          <w:bCs/>
          <w:b/>
        </w:rPr>
        <w:t xml:space="preserve">Project</w:t>
      </w:r>
      <w:r>
        <w:t xml:space="preserve"> </w:t>
      </w:r>
      <w:r>
        <w:t xml:space="preserve">(projects followed with specifiers and influencers), which makes it possible to transpose the scenarios directly to the Hager context.</w:t>
      </w:r>
    </w:p>
    <w:p>
      <w:pPr>
        <w:numPr>
          <w:ilvl w:val="0"/>
          <w:numId w:val="1001"/>
        </w:numPr>
        <w:pStyle w:val="Compact"/>
      </w:pPr>
      <w:r>
        <w:rPr>
          <w:bCs/>
          <w:b/>
        </w:rPr>
        <w:t xml:space="preserve">Guiding principle:</w:t>
      </w:r>
      <w:r>
        <w:t xml:space="preserve"> </w:t>
      </w:r>
      <w:r>
        <w:t xml:space="preserve">each module answers three questions: what does the standard offer, why did Microsoft design it this way, and what does Hager do today.</w:t>
      </w:r>
    </w:p>
    <w:p>
      <w:pPr>
        <w:pStyle w:val="FirstParagraph"/>
      </w:pPr>
      <w:r>
        <w:t xml:space="preserve">The full running case scenario, episode by episode, is described in the</w:t>
      </w:r>
      <w:r>
        <w:t xml:space="preserve"> </w:t>
      </w:r>
      <w:r>
        <w:t xml:space="preserve">“</w:t>
      </w:r>
      <w:r>
        <w:t xml:space="preserve">ARCHIFRIDAYS Running Case</w:t>
      </w:r>
      <w:r>
        <w:t xml:space="preserve">”</w:t>
      </w:r>
      <w:r>
        <w:t xml:space="preserve"> </w:t>
      </w:r>
      <w:r>
        <w:t xml:space="preserve">document.</w:t>
      </w:r>
    </w:p>
    <w:bookmarkEnd w:id="20"/>
    <w:bookmarkStart w:id="21" w:name="learning-objectives"/>
    <w:p>
      <w:pPr>
        <w:pStyle w:val="Heading1"/>
      </w:pPr>
      <w:r>
        <w:t xml:space="preserve">Learning objectives</w:t>
      </w:r>
    </w:p>
    <w:p>
      <w:pPr>
        <w:pStyle w:val="FirstParagraph"/>
      </w:pPr>
      <w:r>
        <w:t xml:space="preserve">By the end of the 2 days, participants will be able to:</w:t>
      </w:r>
    </w:p>
    <w:p>
      <w:pPr>
        <w:numPr>
          <w:ilvl w:val="0"/>
          <w:numId w:val="1002"/>
        </w:numPr>
        <w:pStyle w:val="Compact"/>
      </w:pPr>
      <w:r>
        <w:t xml:space="preserve">Distinguish between what belongs to standard Dynamics 365 Sales and what is specific to the Hager CRM.</w:t>
      </w:r>
    </w:p>
    <w:p>
      <w:pPr>
        <w:numPr>
          <w:ilvl w:val="0"/>
          <w:numId w:val="1002"/>
        </w:numPr>
        <w:pStyle w:val="Compact"/>
      </w:pPr>
      <w:r>
        <w:t xml:space="preserve">Describe the end-to-end sales process offered by Microsoft, from lead to invoice, and the logic of the associated data model.</w:t>
      </w:r>
    </w:p>
    <w:p>
      <w:pPr>
        <w:numPr>
          <w:ilvl w:val="0"/>
          <w:numId w:val="1002"/>
        </w:numPr>
        <w:pStyle w:val="Compact"/>
      </w:pPr>
      <w:r>
        <w:t xml:space="preserve">Identify the native features not used today and their business value.</w:t>
      </w:r>
    </w:p>
    <w:p>
      <w:pPr>
        <w:numPr>
          <w:ilvl w:val="0"/>
          <w:numId w:val="1002"/>
        </w:numPr>
        <w:pStyle w:val="Compact"/>
      </w:pPr>
      <w:r>
        <w:t xml:space="preserve">Use the native capabilities for reporting, sales performance analysis and sales forecasting.</w:t>
      </w:r>
    </w:p>
    <w:p>
      <w:pPr>
        <w:numPr>
          <w:ilvl w:val="0"/>
          <w:numId w:val="1002"/>
        </w:numPr>
        <w:pStyle w:val="Compact"/>
      </w:pPr>
      <w:r>
        <w:t xml:space="preserve">Position the contributions of the Microsoft ecosystem (Power Platform, Teams, Outlook, Power BI, Copilot) within a business process, without going into configuration.</w:t>
      </w:r>
    </w:p>
    <w:p>
      <w:pPr>
        <w:numPr>
          <w:ilvl w:val="0"/>
          <w:numId w:val="1002"/>
        </w:numPr>
        <w:pStyle w:val="Compact"/>
      </w:pPr>
      <w:r>
        <w:t xml:space="preserve">Challenge a business requirement using a</w:t>
      </w:r>
      <w:r>
        <w:t xml:space="preserve"> </w:t>
      </w:r>
      <w:r>
        <w:t xml:space="preserve">“</w:t>
      </w:r>
      <w:r>
        <w:t xml:space="preserve">standard first</w:t>
      </w:r>
      <w:r>
        <w:t xml:space="preserve">”</w:t>
      </w:r>
      <w:r>
        <w:t xml:space="preserve"> </w:t>
      </w:r>
      <w:r>
        <w:t xml:space="preserve">grid and make the case to business teams, architects and integrators.</w:t>
      </w:r>
    </w:p>
    <w:p>
      <w:pPr>
        <w:numPr>
          <w:ilvl w:val="0"/>
          <w:numId w:val="1002"/>
        </w:numPr>
        <w:pStyle w:val="Compact"/>
      </w:pPr>
      <w:r>
        <w:t xml:space="preserve">Produce an initial map of the standard / Hager gaps and their implications.</w:t>
      </w:r>
    </w:p>
    <w:bookmarkEnd w:id="21"/>
    <w:bookmarkStart w:id="25" w:name="time-allocation"/>
    <w:p>
      <w:pPr>
        <w:pStyle w:val="Heading1"/>
      </w:pPr>
      <w:r>
        <w:t xml:space="preserve">Time allocation</w:t>
      </w:r>
    </w:p>
    <w:p>
      <w:pPr>
        <w:pStyle w:val="CaptionedFigure"/>
        <w:jc w:val="center"/>
      </w:pPr>
      <w:r>
        <w:drawing>
          <wp:inline>
            <wp:extent cx="5334000" cy="3081866"/>
            <wp:effectExtent b="0" l="0" r="0" t="0"/>
            <wp:docPr descr="Allocation of the 14 hours by theme (excluding breaks and lunches)" title="" id="23" name="Picture"/>
            <a:graphic>
              <a:graphicData uri="http://schemas.openxmlformats.org/drawingml/2006/picture">
                <pic:pic>
                  <pic:nvPicPr>
                    <pic:cNvPr descr="repartition_temps.png" id="24" name="Picture"/>
                    <pic:cNvPicPr>
                      <a:picLocks noChangeArrowheads="1" noChangeAspect="1"/>
                    </pic:cNvPicPr>
                  </pic:nvPicPr>
                  <pic:blipFill>
                    <a:blip r:embed="rId22"/>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jc w:val="center"/>
      </w:pPr>
      <w:r>
        <w:t xml:space="preserve">Allocation of the 14 hours by theme (excluding breaks and lunches)</w:t>
      </w:r>
    </w:p>
    <w:p>
      <w:pPr>
        <w:pStyle w:val="BodyText"/>
      </w:pPr>
      <w:r>
        <w:t xml:space="preserve">Time has been reallocated based on your feedback: configuration, dashboards, and accounts and contacts are covered in summary form, in favour of the sales process, analytics and lessons learned.</w:t>
      </w:r>
    </w:p>
    <w:bookmarkEnd w:id="25"/>
    <w:bookmarkStart w:id="26" w:name="X2e82dee759eb682d1b570246854a50c324b2275"/>
    <w:p>
      <w:pPr>
        <w:pStyle w:val="Heading1"/>
      </w:pPr>
      <w:r>
        <w:t xml:space="preserve">Day 1: standard Dynamics 365 Sales and the end-to-end sales process</w:t>
      </w:r>
    </w:p>
    <w:p>
      <w:pPr>
        <w:pStyle w:val="FirstParagraph"/>
      </w:pPr>
      <w:r>
        <w:t xml:space="preserve">Day 1 is dedicated to the</w:t>
      </w:r>
      <w:r>
        <w:t xml:space="preserve"> </w:t>
      </w:r>
      <w:r>
        <w:t xml:space="preserve">“</w:t>
      </w:r>
      <w:r>
        <w:t xml:space="preserve">what</w:t>
      </w:r>
      <w:r>
        <w:t xml:space="preserve">”</w:t>
      </w:r>
      <w:r>
        <w:t xml:space="preserve"> </w:t>
      </w:r>
      <w:r>
        <w:t xml:space="preserve">and the</w:t>
      </w:r>
      <w:r>
        <w:t xml:space="preserve"> </w:t>
      </w:r>
      <w:r>
        <w:t xml:space="preserve">“</w:t>
      </w:r>
      <w:r>
        <w:t xml:space="preserve">why</w:t>
      </w:r>
      <w:r>
        <w:t xml:space="preserve">”</w:t>
      </w:r>
      <w:r>
        <w:t xml:space="preserve"> </w:t>
      </w:r>
      <w:r>
        <w:t xml:space="preserve">of the standard, with extra time on the lead, opportunity, quote, order, invoice cycle.</w:t>
      </w:r>
    </w:p>
    <w:tbl>
      <w:tblPr>
        <w:tblStyle w:val="Table"/>
        <w:tblW w:type="dxa" w:w="9638"/>
        <w:tblLayout w:type="fixed"/>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799"/>
        <w:gridCol w:w="2510"/>
        <w:gridCol w:w="5087"/>
        <w:gridCol w:w="1239"/>
      </w:tblGrid>
      <w:tr>
        <w:trPr>
          <w:tblHeader w:val="true"/>
          <w:tblHeader w:val="true"/>
        </w:trPr>
        <w:tc>
          <w:tcPr>
            <w:tcW w:type="dxa" w:w="800"/>
            <w:shd w:val="clear" w:color="auto" w:fill="1F3864"/>
          </w:tcPr>
          <w:p>
            <w:pPr>
              <w:pStyle w:val="Compact"/>
              <w:spacing w:after="40"/>
              <w:jc w:val="left"/>
            </w:pPr>
            <w:r>
              <w:rPr>
                <w:b/>
                <w:color w:val="FFFFFF"/>
                <w:sz w:val="18"/>
              </w:rPr>
              <w:t xml:space="preserve">Time</w:t>
            </w:r>
          </w:p>
        </w:tc>
        <w:tc>
          <w:tcPr>
            <w:tcW w:type="dxa" w:w="2510"/>
            <w:shd w:val="clear" w:color="auto" w:fill="1F3864"/>
          </w:tcPr>
          <w:p>
            <w:pPr>
              <w:pStyle w:val="Compact"/>
              <w:spacing w:after="40"/>
              <w:jc w:val="left"/>
            </w:pPr>
            <w:r>
              <w:rPr>
                <w:b/>
                <w:color w:val="FFFFFF"/>
                <w:sz w:val="18"/>
              </w:rPr>
              <w:t xml:space="preserve">Module</w:t>
            </w:r>
          </w:p>
        </w:tc>
        <w:tc>
          <w:tcPr>
            <w:tcW w:type="dxa" w:w="5088"/>
            <w:shd w:val="clear" w:color="auto" w:fill="1F3864"/>
          </w:tcPr>
          <w:p>
            <w:pPr>
              <w:pStyle w:val="Compact"/>
              <w:spacing w:after="40"/>
              <w:jc w:val="left"/>
            </w:pPr>
            <w:r>
              <w:rPr>
                <w:b/>
                <w:color w:val="FFFFFF"/>
                <w:sz w:val="18"/>
              </w:rPr>
              <w:t xml:space="preserve">Content</w:t>
            </w:r>
          </w:p>
        </w:tc>
        <w:tc>
          <w:tcPr>
            <w:tcW w:type="dxa" w:w="1240"/>
            <w:shd w:val="clear" w:color="auto" w:fill="1F3864"/>
          </w:tcPr>
          <w:p>
            <w:pPr>
              <w:pStyle w:val="Compact"/>
              <w:spacing w:after="40"/>
              <w:jc w:val="left"/>
            </w:pPr>
            <w:r>
              <w:rPr>
                <w:b/>
                <w:color w:val="FFFFFF"/>
                <w:sz w:val="18"/>
              </w:rPr>
              <w:t xml:space="preserve">Format</w:t>
            </w:r>
          </w:p>
        </w:tc>
      </w:tr>
      <w:tr>
        <w:tc>
          <w:tcPr>
            <w:tcW w:type="dxa" w:w="800"/>
          </w:tcPr>
          <w:p>
            <w:pPr>
              <w:pStyle w:val="Compact"/>
              <w:spacing w:after="40"/>
              <w:jc w:val="left"/>
            </w:pPr>
            <w:r>
              <w:rPr>
                <w:sz w:val="18"/>
              </w:rPr>
              <w:t xml:space="preserve">9:00-9:30</w:t>
            </w:r>
          </w:p>
        </w:tc>
        <w:tc>
          <w:tcPr>
            <w:tcW w:type="dxa" w:w="2510"/>
          </w:tcPr>
          <w:p>
            <w:pPr>
              <w:pStyle w:val="Compact"/>
              <w:spacing w:after="40"/>
              <w:jc w:val="left"/>
            </w:pPr>
            <w:r>
              <w:rPr>
                <w:sz w:val="18"/>
              </w:rPr>
              <w:t xml:space="preserve">Opening</w:t>
            </w:r>
          </w:p>
        </w:tc>
        <w:tc>
          <w:tcPr>
            <w:tcW w:type="dxa" w:w="5088"/>
          </w:tcPr>
          <w:p>
            <w:pPr>
              <w:pStyle w:val="Compact"/>
              <w:spacing w:after="40"/>
              <w:jc w:val="left"/>
            </w:pPr>
            <w:r>
              <w:rPr>
                <w:sz w:val="18"/>
              </w:rPr>
              <w:t xml:space="preserve">Round-table introductions, expectations, 10-minute presentation of the Hager CRM by the participants (processes, volumes, main customisations)</w:t>
            </w:r>
          </w:p>
        </w:tc>
        <w:tc>
          <w:tcPr>
            <w:tcW w:type="dxa" w:w="1240"/>
          </w:tcPr>
          <w:p>
            <w:pPr>
              <w:pStyle w:val="Compact"/>
              <w:spacing w:after="40"/>
              <w:jc w:val="left"/>
            </w:pPr>
            <w:r>
              <w:rPr>
                <w:sz w:val="18"/>
              </w:rPr>
              <w:t xml:space="preserve">Discussion</w:t>
            </w:r>
          </w:p>
        </w:tc>
      </w:tr>
      <w:tr>
        <w:tc>
          <w:tcPr>
            <w:tcW w:type="dxa" w:w="800"/>
          </w:tcPr>
          <w:p>
            <w:pPr>
              <w:pStyle w:val="Compact"/>
              <w:spacing w:after="40"/>
              <w:jc w:val="left"/>
            </w:pPr>
            <w:r>
              <w:rPr>
                <w:sz w:val="18"/>
              </w:rPr>
              <w:t xml:space="preserve">9:30-10:30</w:t>
            </w:r>
          </w:p>
        </w:tc>
        <w:tc>
          <w:tcPr>
            <w:tcW w:type="dxa" w:w="2510"/>
          </w:tcPr>
          <w:p>
            <w:pPr>
              <w:pStyle w:val="Compact"/>
              <w:spacing w:after="40"/>
              <w:jc w:val="left"/>
            </w:pPr>
            <w:r>
              <w:rPr>
                <w:sz w:val="18"/>
              </w:rPr>
              <w:t xml:space="preserve">M1. Dynamics 365 Sales in the ecosystem</w:t>
            </w:r>
          </w:p>
        </w:tc>
        <w:tc>
          <w:tcPr>
            <w:tcW w:type="dxa" w:w="5088"/>
          </w:tcPr>
          <w:p>
            <w:pPr>
              <w:pStyle w:val="Compact"/>
              <w:spacing w:after="40"/>
              <w:jc w:val="left"/>
            </w:pPr>
            <w:r>
              <w:rPr>
                <w:sz w:val="18"/>
              </w:rPr>
              <w:t xml:space="preserve">Dataverse and model-driven apps, Sales Hub, licence tiers (Professional, Enterprise, Premium) and what they unlock, half-yearly update cycle (release waves), native features that are often under-used</w:t>
            </w:r>
          </w:p>
        </w:tc>
        <w:tc>
          <w:tcPr>
            <w:tcW w:type="dxa" w:w="1240"/>
          </w:tcPr>
          <w:p>
            <w:pPr>
              <w:pStyle w:val="Compact"/>
              <w:spacing w:after="40"/>
              <w:jc w:val="left"/>
            </w:pPr>
            <w:r>
              <w:rPr>
                <w:sz w:val="18"/>
              </w:rPr>
              <w:t xml:space="preserve">Presentation + demo</w:t>
            </w:r>
          </w:p>
        </w:tc>
      </w:tr>
      <w:tr>
        <w:tc>
          <w:tcPr>
            <w:tcW w:type="dxa" w:w="800"/>
          </w:tcPr>
          <w:p>
            <w:pPr>
              <w:pStyle w:val="Compact"/>
              <w:spacing w:after="40"/>
              <w:jc w:val="left"/>
            </w:pPr>
            <w:r>
              <w:rPr>
                <w:sz w:val="18"/>
              </w:rPr>
              <w:t xml:space="preserve">10:30-10:45</w:t>
            </w:r>
          </w:p>
        </w:tc>
        <w:tc>
          <w:tcPr>
            <w:tcW w:type="dxa" w:w="2510"/>
          </w:tcPr>
          <w:p>
            <w:pPr>
              <w:pStyle w:val="Compact"/>
              <w:spacing w:after="40"/>
              <w:jc w:val="left"/>
            </w:pPr>
            <w:r>
              <w:rPr>
                <w:sz w:val="18"/>
              </w:rPr>
              <w:t xml:space="preserve">Break</w:t>
            </w:r>
          </w:p>
        </w:tc>
        <w:tc>
          <w:tcPr>
            <w:tcW w:type="dxa" w:w="5088"/>
          </w:tcPr>
          <w:p>
            <w:pPr>
              <w:pStyle w:val="Compact"/>
              <w:spacing w:after="40"/>
            </w:pPr>
          </w:p>
        </w:tc>
        <w:tc>
          <w:tcPr>
            <w:tcW w:type="dxa" w:w="1240"/>
          </w:tcPr>
          <w:p>
            <w:pPr>
              <w:pStyle w:val="Compact"/>
              <w:spacing w:after="40"/>
            </w:pPr>
          </w:p>
        </w:tc>
      </w:tr>
      <w:tr>
        <w:tc>
          <w:tcPr>
            <w:tcW w:type="dxa" w:w="800"/>
          </w:tcPr>
          <w:p>
            <w:pPr>
              <w:pStyle w:val="Compact"/>
              <w:spacing w:after="40"/>
              <w:jc w:val="left"/>
            </w:pPr>
            <w:r>
              <w:rPr>
                <w:sz w:val="18"/>
              </w:rPr>
              <w:t xml:space="preserve">10:45-11:15</w:t>
            </w:r>
          </w:p>
        </w:tc>
        <w:tc>
          <w:tcPr>
            <w:tcW w:type="dxa" w:w="2510"/>
          </w:tcPr>
          <w:p>
            <w:pPr>
              <w:pStyle w:val="Compact"/>
              <w:spacing w:after="40"/>
              <w:jc w:val="left"/>
            </w:pPr>
            <w:r>
              <w:rPr>
                <w:sz w:val="18"/>
              </w:rPr>
              <w:t xml:space="preserve">M2. Configuration: overview</w:t>
            </w:r>
          </w:p>
        </w:tc>
        <w:tc>
          <w:tcPr>
            <w:tcW w:type="dxa" w:w="5088"/>
          </w:tcPr>
          <w:p>
            <w:pPr>
              <w:pStyle w:val="Compact"/>
              <w:spacing w:after="40"/>
              <w:jc w:val="left"/>
            </w:pPr>
            <w:r>
              <w:rPr>
                <w:sz w:val="18"/>
              </w:rPr>
              <w:t xml:space="preserve">Security (business units, security roles, teams, column security profiles, hierarchy): what can be configured by role and its business impact. Dashboards: quick refresher</w:t>
            </w:r>
          </w:p>
        </w:tc>
        <w:tc>
          <w:tcPr>
            <w:tcW w:type="dxa" w:w="1240"/>
          </w:tcPr>
          <w:p>
            <w:pPr>
              <w:pStyle w:val="Compact"/>
              <w:spacing w:after="40"/>
              <w:jc w:val="left"/>
            </w:pPr>
            <w:r>
              <w:rPr>
                <w:sz w:val="18"/>
              </w:rPr>
              <w:t xml:space="preserve">Summary presentation</w:t>
            </w:r>
          </w:p>
        </w:tc>
      </w:tr>
      <w:tr>
        <w:tc>
          <w:tcPr>
            <w:tcW w:type="dxa" w:w="800"/>
          </w:tcPr>
          <w:p>
            <w:pPr>
              <w:pStyle w:val="Compact"/>
              <w:spacing w:after="40"/>
              <w:jc w:val="left"/>
            </w:pPr>
            <w:r>
              <w:rPr>
                <w:sz w:val="18"/>
              </w:rPr>
              <w:t xml:space="preserve">11:15-12:30</w:t>
            </w:r>
          </w:p>
        </w:tc>
        <w:tc>
          <w:tcPr>
            <w:tcW w:type="dxa" w:w="2510"/>
          </w:tcPr>
          <w:p>
            <w:pPr>
              <w:pStyle w:val="Compact"/>
              <w:spacing w:after="40"/>
              <w:jc w:val="left"/>
            </w:pPr>
            <w:r>
              <w:rPr>
                <w:sz w:val="18"/>
              </w:rPr>
              <w:t xml:space="preserve">M3. The standard sales data model</w:t>
            </w:r>
          </w:p>
        </w:tc>
        <w:tc>
          <w:tcPr>
            <w:tcW w:type="dxa" w:w="5088"/>
          </w:tcPr>
          <w:p>
            <w:pPr>
              <w:pStyle w:val="Compact"/>
              <w:spacing w:after="40"/>
              <w:jc w:val="left"/>
            </w:pPr>
            <w:r>
              <w:rPr>
                <w:sz w:val="18"/>
              </w:rPr>
              <w:t xml:space="preserve">Accounts and contacts (summary), leads, opportunities, quotes, orders, invoices, product catalogue (product families, price lists, unit groups), competitors, connection roles, activities. Logic of relationships and conversions. Side-by-side reading with the Hager model</w:t>
            </w:r>
          </w:p>
        </w:tc>
        <w:tc>
          <w:tcPr>
            <w:tcW w:type="dxa" w:w="1240"/>
          </w:tcPr>
          <w:p>
            <w:pPr>
              <w:pStyle w:val="Compact"/>
              <w:spacing w:after="40"/>
              <w:jc w:val="left"/>
            </w:pPr>
            <w:r>
              <w:rPr>
                <w:sz w:val="18"/>
              </w:rPr>
              <w:t xml:space="preserve">Presentation + workshop</w:t>
            </w:r>
          </w:p>
        </w:tc>
      </w:tr>
      <w:tr>
        <w:tc>
          <w:tcPr>
            <w:tcW w:type="dxa" w:w="800"/>
          </w:tcPr>
          <w:p>
            <w:pPr>
              <w:pStyle w:val="Compact"/>
              <w:spacing w:after="40"/>
              <w:jc w:val="left"/>
            </w:pPr>
            <w:r>
              <w:rPr>
                <w:sz w:val="18"/>
              </w:rPr>
              <w:t xml:space="preserve">12:30-13:30</w:t>
            </w:r>
          </w:p>
        </w:tc>
        <w:tc>
          <w:tcPr>
            <w:tcW w:type="dxa" w:w="2510"/>
          </w:tcPr>
          <w:p>
            <w:pPr>
              <w:pStyle w:val="Compact"/>
              <w:spacing w:after="40"/>
              <w:jc w:val="left"/>
            </w:pPr>
            <w:r>
              <w:rPr>
                <w:sz w:val="18"/>
              </w:rPr>
              <w:t xml:space="preserve">Lunch</w:t>
            </w:r>
          </w:p>
        </w:tc>
        <w:tc>
          <w:tcPr>
            <w:tcW w:type="dxa" w:w="5088"/>
          </w:tcPr>
          <w:p>
            <w:pPr>
              <w:pStyle w:val="Compact"/>
              <w:spacing w:after="40"/>
            </w:pPr>
          </w:p>
        </w:tc>
        <w:tc>
          <w:tcPr>
            <w:tcW w:type="dxa" w:w="1240"/>
          </w:tcPr>
          <w:p>
            <w:pPr>
              <w:pStyle w:val="Compact"/>
              <w:spacing w:after="40"/>
            </w:pPr>
          </w:p>
        </w:tc>
      </w:tr>
      <w:tr>
        <w:tc>
          <w:tcPr>
            <w:tcW w:type="dxa" w:w="800"/>
          </w:tcPr>
          <w:p>
            <w:pPr>
              <w:pStyle w:val="Compact"/>
              <w:spacing w:after="40"/>
              <w:jc w:val="left"/>
            </w:pPr>
            <w:r>
              <w:rPr>
                <w:sz w:val="18"/>
              </w:rPr>
              <w:t xml:space="preserve">13:30-15:00</w:t>
            </w:r>
          </w:p>
        </w:tc>
        <w:tc>
          <w:tcPr>
            <w:tcW w:type="dxa" w:w="2510"/>
          </w:tcPr>
          <w:p>
            <w:pPr>
              <w:pStyle w:val="Compact"/>
              <w:spacing w:after="40"/>
              <w:jc w:val="left"/>
            </w:pPr>
            <w:r>
              <w:rPr>
                <w:sz w:val="18"/>
              </w:rPr>
              <w:t xml:space="preserve">M4. Lead management and conversion to opportunity</w:t>
            </w:r>
          </w:p>
        </w:tc>
        <w:tc>
          <w:tcPr>
            <w:tcW w:type="dxa" w:w="5088"/>
          </w:tcPr>
          <w:p>
            <w:pPr>
              <w:pStyle w:val="Compact"/>
              <w:spacing w:after="40"/>
              <w:jc w:val="left"/>
            </w:pPr>
            <w:r>
              <w:rPr>
                <w:sz w:val="18"/>
              </w:rPr>
              <w:t xml:space="preserve">Lead sources and life cycle, qualification and disqualification, duplicate detection,</w:t>
            </w:r>
            <w:r>
              <w:rPr>
                <w:sz w:val="18"/>
              </w:rPr>
              <w:t xml:space="preserve"> </w:t>
            </w:r>
            <w:r>
              <w:rPr>
                <w:sz w:val="18"/>
              </w:rPr>
              <w:t xml:space="preserve">“</w:t>
            </w:r>
            <w:r>
              <w:rPr>
                <w:sz w:val="18"/>
              </w:rPr>
              <w:t xml:space="preserve">Lead to Opportunity Sales Process</w:t>
            </w:r>
            <w:r>
              <w:rPr>
                <w:sz w:val="18"/>
              </w:rPr>
              <w:t xml:space="preserve">”</w:t>
            </w:r>
            <w:r>
              <w:rPr>
                <w:sz w:val="18"/>
              </w:rPr>
              <w:t xml:space="preserve"> </w:t>
            </w:r>
            <w:r>
              <w:rPr>
                <w:sz w:val="18"/>
              </w:rPr>
              <w:t xml:space="preserve">business process flow, conversion (account, contact, opportunity), predictive lead scoring and sequences (Premium). ARCHIFRIDAYS scenario: lead from a trade show for the electrical equipment of an office building, with a specifying engineering consultancy and an installer</w:t>
            </w:r>
          </w:p>
        </w:tc>
        <w:tc>
          <w:tcPr>
            <w:tcW w:type="dxa" w:w="1240"/>
          </w:tcPr>
          <w:p>
            <w:pPr>
              <w:pStyle w:val="Compact"/>
              <w:spacing w:after="40"/>
              <w:jc w:val="left"/>
            </w:pPr>
            <w:r>
              <w:rPr>
                <w:sz w:val="18"/>
              </w:rPr>
              <w:t xml:space="preserve">Demo + business case</w:t>
            </w:r>
          </w:p>
        </w:tc>
      </w:tr>
      <w:tr>
        <w:tc>
          <w:tcPr>
            <w:tcW w:type="dxa" w:w="800"/>
          </w:tcPr>
          <w:p>
            <w:pPr>
              <w:pStyle w:val="Compact"/>
              <w:spacing w:after="40"/>
              <w:jc w:val="left"/>
            </w:pPr>
            <w:r>
              <w:rPr>
                <w:sz w:val="18"/>
              </w:rPr>
              <w:t xml:space="preserve">15:00-15:15</w:t>
            </w:r>
          </w:p>
        </w:tc>
        <w:tc>
          <w:tcPr>
            <w:tcW w:type="dxa" w:w="2510"/>
          </w:tcPr>
          <w:p>
            <w:pPr>
              <w:pStyle w:val="Compact"/>
              <w:spacing w:after="40"/>
              <w:jc w:val="left"/>
            </w:pPr>
            <w:r>
              <w:rPr>
                <w:sz w:val="18"/>
              </w:rPr>
              <w:t xml:space="preserve">Break</w:t>
            </w:r>
          </w:p>
        </w:tc>
        <w:tc>
          <w:tcPr>
            <w:tcW w:type="dxa" w:w="5088"/>
          </w:tcPr>
          <w:p>
            <w:pPr>
              <w:pStyle w:val="Compact"/>
              <w:spacing w:after="40"/>
            </w:pPr>
          </w:p>
        </w:tc>
        <w:tc>
          <w:tcPr>
            <w:tcW w:type="dxa" w:w="1240"/>
          </w:tcPr>
          <w:p>
            <w:pPr>
              <w:pStyle w:val="Compact"/>
              <w:spacing w:after="40"/>
            </w:pPr>
          </w:p>
        </w:tc>
      </w:tr>
      <w:tr>
        <w:tc>
          <w:tcPr>
            <w:tcW w:type="dxa" w:w="800"/>
          </w:tcPr>
          <w:p>
            <w:pPr>
              <w:pStyle w:val="Compact"/>
              <w:spacing w:after="40"/>
              <w:jc w:val="left"/>
            </w:pPr>
            <w:r>
              <w:rPr>
                <w:sz w:val="18"/>
              </w:rPr>
              <w:t xml:space="preserve">15:15-16:45</w:t>
            </w:r>
          </w:p>
        </w:tc>
        <w:tc>
          <w:tcPr>
            <w:tcW w:type="dxa" w:w="2510"/>
          </w:tcPr>
          <w:p>
            <w:pPr>
              <w:pStyle w:val="Compact"/>
              <w:spacing w:after="40"/>
              <w:jc w:val="left"/>
            </w:pPr>
            <w:r>
              <w:rPr>
                <w:sz w:val="18"/>
              </w:rPr>
              <w:t xml:space="preserve">M5. Opportunities, quotes, orders and invoices</w:t>
            </w:r>
          </w:p>
        </w:tc>
        <w:tc>
          <w:tcPr>
            <w:tcW w:type="dxa" w:w="5088"/>
          </w:tcPr>
          <w:p>
            <w:pPr>
              <w:pStyle w:val="Compact"/>
              <w:spacing w:after="40"/>
              <w:jc w:val="left"/>
            </w:pPr>
            <w:r>
              <w:rPr>
                <w:sz w:val="18"/>
              </w:rPr>
              <w:t xml:space="preserve">Pipeline and stages, estimates and probabilities, opportunity products, system-calculated or user-provided pricing, quote life cycle (draft, active, revision, won), order and invoice, CRM / ERP boundary and the related architecture choices. End-to-end demonstration</w:t>
            </w:r>
          </w:p>
        </w:tc>
        <w:tc>
          <w:tcPr>
            <w:tcW w:type="dxa" w:w="1240"/>
          </w:tcPr>
          <w:p>
            <w:pPr>
              <w:pStyle w:val="Compact"/>
              <w:spacing w:after="40"/>
              <w:jc w:val="left"/>
            </w:pPr>
            <w:r>
              <w:rPr>
                <w:sz w:val="18"/>
              </w:rPr>
              <w:t xml:space="preserve">Demo + discussion</w:t>
            </w:r>
          </w:p>
        </w:tc>
      </w:tr>
      <w:tr>
        <w:tc>
          <w:tcPr>
            <w:tcW w:type="dxa" w:w="800"/>
          </w:tcPr>
          <w:p>
            <w:pPr>
              <w:pStyle w:val="Compact"/>
              <w:spacing w:after="40"/>
              <w:jc w:val="left"/>
            </w:pPr>
            <w:r>
              <w:rPr>
                <w:sz w:val="18"/>
              </w:rPr>
              <w:t xml:space="preserve">16:45-17:30</w:t>
            </w:r>
          </w:p>
        </w:tc>
        <w:tc>
          <w:tcPr>
            <w:tcW w:type="dxa" w:w="2510"/>
          </w:tcPr>
          <w:p>
            <w:pPr>
              <w:pStyle w:val="Compact"/>
              <w:spacing w:after="40"/>
              <w:jc w:val="left"/>
            </w:pPr>
            <w:r>
              <w:rPr>
                <w:sz w:val="18"/>
              </w:rPr>
              <w:t xml:space="preserve">Workshop 1. Sales process fit-gap</w:t>
            </w:r>
          </w:p>
        </w:tc>
        <w:tc>
          <w:tcPr>
            <w:tcW w:type="dxa" w:w="5088"/>
          </w:tcPr>
          <w:p>
            <w:pPr>
              <w:pStyle w:val="Compact"/>
              <w:spacing w:after="40"/>
              <w:jc w:val="left"/>
            </w:pPr>
            <w:r>
              <w:rPr>
                <w:sz w:val="18"/>
              </w:rPr>
              <w:t xml:space="preserve">Standard / Hager matrix step by step: fit, justified gap, gap to challenge. Initial implications (maintenance cost, compatibility with new Microsoft features)</w:t>
            </w:r>
          </w:p>
        </w:tc>
        <w:tc>
          <w:tcPr>
            <w:tcW w:type="dxa" w:w="1240"/>
          </w:tcPr>
          <w:p>
            <w:pPr>
              <w:pStyle w:val="Compact"/>
              <w:spacing w:after="40"/>
              <w:jc w:val="left"/>
            </w:pPr>
            <w:r>
              <w:rPr>
                <w:sz w:val="18"/>
              </w:rPr>
              <w:t xml:space="preserve">Workshop in sub-groups</w:t>
            </w:r>
          </w:p>
        </w:tc>
      </w:tr>
    </w:tbl>
    <w:bookmarkEnd w:id="26"/>
    <w:bookmarkStart w:id="27" w:name="X6540b9d3c111cbea7a49a371577b1cbb77c805f"/>
    <w:p>
      <w:pPr>
        <w:pStyle w:val="Heading1"/>
      </w:pPr>
      <w:r>
        <w:t xml:space="preserve">Day 2: interactions, performance management, ecosystem and lessons learned</w:t>
      </w:r>
    </w:p>
    <w:p>
      <w:pPr>
        <w:pStyle w:val="FirstParagraph"/>
      </w:pPr>
      <w:r>
        <w:t xml:space="preserve">Day 2 broadens the scope to customer relationship tracking, sales performance management and the Microsoft ecosystem, then devotes the afternoon to best practices and the Hager context.</w:t>
      </w:r>
    </w:p>
    <w:tbl>
      <w:tblPr>
        <w:tblStyle w:val="Table"/>
        <w:tblW w:type="dxa" w:w="9638"/>
        <w:tblLayout w:type="fixed"/>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772"/>
        <w:gridCol w:w="2545"/>
        <w:gridCol w:w="4916"/>
        <w:gridCol w:w="1403"/>
      </w:tblGrid>
      <w:tr>
        <w:trPr>
          <w:tblHeader w:val="true"/>
          <w:tblHeader w:val="true"/>
        </w:trPr>
        <w:tc>
          <w:tcPr>
            <w:tcW w:type="dxa" w:w="773"/>
            <w:shd w:val="clear" w:color="auto" w:fill="1F3864"/>
          </w:tcPr>
          <w:p>
            <w:pPr>
              <w:pStyle w:val="Compact"/>
              <w:spacing w:after="40"/>
              <w:jc w:val="left"/>
            </w:pPr>
            <w:r>
              <w:rPr>
                <w:b/>
                <w:color w:val="FFFFFF"/>
                <w:sz w:val="18"/>
              </w:rPr>
              <w:t xml:space="preserve">Time</w:t>
            </w:r>
          </w:p>
        </w:tc>
        <w:tc>
          <w:tcPr>
            <w:tcW w:type="dxa" w:w="2545"/>
            <w:shd w:val="clear" w:color="auto" w:fill="1F3864"/>
          </w:tcPr>
          <w:p>
            <w:pPr>
              <w:pStyle w:val="Compact"/>
              <w:spacing w:after="40"/>
              <w:jc w:val="left"/>
            </w:pPr>
            <w:r>
              <w:rPr>
                <w:b/>
                <w:color w:val="FFFFFF"/>
                <w:sz w:val="18"/>
              </w:rPr>
              <w:t xml:space="preserve">Module</w:t>
            </w:r>
          </w:p>
        </w:tc>
        <w:tc>
          <w:tcPr>
            <w:tcW w:type="dxa" w:w="4917"/>
            <w:shd w:val="clear" w:color="auto" w:fill="1F3864"/>
          </w:tcPr>
          <w:p>
            <w:pPr>
              <w:pStyle w:val="Compact"/>
              <w:spacing w:after="40"/>
              <w:jc w:val="left"/>
            </w:pPr>
            <w:r>
              <w:rPr>
                <w:b/>
                <w:color w:val="FFFFFF"/>
                <w:sz w:val="18"/>
              </w:rPr>
              <w:t xml:space="preserve">Content</w:t>
            </w:r>
          </w:p>
        </w:tc>
        <w:tc>
          <w:tcPr>
            <w:tcW w:type="dxa" w:w="1403"/>
            <w:shd w:val="clear" w:color="auto" w:fill="1F3864"/>
          </w:tcPr>
          <w:p>
            <w:pPr>
              <w:pStyle w:val="Compact"/>
              <w:spacing w:after="40"/>
              <w:jc w:val="left"/>
            </w:pPr>
            <w:r>
              <w:rPr>
                <w:b/>
                <w:color w:val="FFFFFF"/>
                <w:sz w:val="18"/>
              </w:rPr>
              <w:t xml:space="preserve">Format</w:t>
            </w:r>
          </w:p>
        </w:tc>
      </w:tr>
      <w:tr>
        <w:tc>
          <w:tcPr>
            <w:tcW w:type="dxa" w:w="773"/>
          </w:tcPr>
          <w:p>
            <w:pPr>
              <w:pStyle w:val="Compact"/>
              <w:spacing w:after="40"/>
              <w:jc w:val="left"/>
            </w:pPr>
            <w:r>
              <w:rPr>
                <w:sz w:val="18"/>
              </w:rPr>
              <w:t xml:space="preserve">9:00-9:15</w:t>
            </w:r>
          </w:p>
        </w:tc>
        <w:tc>
          <w:tcPr>
            <w:tcW w:type="dxa" w:w="2545"/>
          </w:tcPr>
          <w:p>
            <w:pPr>
              <w:pStyle w:val="Compact"/>
              <w:spacing w:after="40"/>
              <w:jc w:val="left"/>
            </w:pPr>
            <w:r>
              <w:rPr>
                <w:sz w:val="18"/>
              </w:rPr>
              <w:t xml:space="preserve">Day 2 kick-off</w:t>
            </w:r>
          </w:p>
        </w:tc>
        <w:tc>
          <w:tcPr>
            <w:tcW w:type="dxa" w:w="4917"/>
          </w:tcPr>
          <w:p>
            <w:pPr>
              <w:pStyle w:val="Compact"/>
              <w:spacing w:after="40"/>
              <w:jc w:val="left"/>
            </w:pPr>
            <w:r>
              <w:rPr>
                <w:sz w:val="18"/>
              </w:rPr>
              <w:t xml:space="preserve">Open questions from Day 1, points of attention raised in the fit-gap workshop</w:t>
            </w:r>
          </w:p>
        </w:tc>
        <w:tc>
          <w:tcPr>
            <w:tcW w:type="dxa" w:w="1403"/>
          </w:tcPr>
          <w:p>
            <w:pPr>
              <w:pStyle w:val="Compact"/>
              <w:spacing w:after="40"/>
              <w:jc w:val="left"/>
            </w:pPr>
            <w:r>
              <w:rPr>
                <w:sz w:val="18"/>
              </w:rPr>
              <w:t xml:space="preserve">Discussion</w:t>
            </w:r>
          </w:p>
        </w:tc>
      </w:tr>
      <w:tr>
        <w:tc>
          <w:tcPr>
            <w:tcW w:type="dxa" w:w="773"/>
          </w:tcPr>
          <w:p>
            <w:pPr>
              <w:pStyle w:val="Compact"/>
              <w:spacing w:after="40"/>
              <w:jc w:val="left"/>
            </w:pPr>
            <w:r>
              <w:rPr>
                <w:sz w:val="18"/>
              </w:rPr>
              <w:t xml:space="preserve">9:15-10:30</w:t>
            </w:r>
          </w:p>
        </w:tc>
        <w:tc>
          <w:tcPr>
            <w:tcW w:type="dxa" w:w="2545"/>
          </w:tcPr>
          <w:p>
            <w:pPr>
              <w:pStyle w:val="Compact"/>
              <w:spacing w:after="40"/>
              <w:jc w:val="left"/>
            </w:pPr>
            <w:r>
              <w:rPr>
                <w:sz w:val="18"/>
              </w:rPr>
              <w:t xml:space="preserve">M6. Interaction tracking and relationship intelligence</w:t>
            </w:r>
          </w:p>
        </w:tc>
        <w:tc>
          <w:tcPr>
            <w:tcW w:type="dxa" w:w="4917"/>
          </w:tcPr>
          <w:p>
            <w:pPr>
              <w:pStyle w:val="Compact"/>
              <w:spacing w:after="40"/>
              <w:jc w:val="left"/>
            </w:pPr>
            <w:r>
              <w:rPr>
                <w:sz w:val="18"/>
              </w:rPr>
              <w:t xml:space="preserve">Activities (email, phone call, appointment, task) and timeline, server-side synchronization with Exchange, tracking of Outlook emails and appointments, Assistant (insight cards) and its evolution towards Copilot, relationship analytics, Sales accelerator and work list. What is captured automatically versus entered manually</w:t>
            </w:r>
          </w:p>
        </w:tc>
        <w:tc>
          <w:tcPr>
            <w:tcW w:type="dxa" w:w="1403"/>
          </w:tcPr>
          <w:p>
            <w:pPr>
              <w:pStyle w:val="Compact"/>
              <w:spacing w:after="40"/>
              <w:jc w:val="left"/>
            </w:pPr>
            <w:r>
              <w:rPr>
                <w:sz w:val="18"/>
              </w:rPr>
              <w:t xml:space="preserve">Demo + business case</w:t>
            </w:r>
          </w:p>
        </w:tc>
      </w:tr>
      <w:tr>
        <w:tc>
          <w:tcPr>
            <w:tcW w:type="dxa" w:w="773"/>
          </w:tcPr>
          <w:p>
            <w:pPr>
              <w:pStyle w:val="Compact"/>
              <w:spacing w:after="40"/>
              <w:jc w:val="left"/>
            </w:pPr>
            <w:r>
              <w:rPr>
                <w:sz w:val="18"/>
              </w:rPr>
              <w:t xml:space="preserve">10:30-10:45</w:t>
            </w:r>
          </w:p>
        </w:tc>
        <w:tc>
          <w:tcPr>
            <w:tcW w:type="dxa" w:w="2545"/>
          </w:tcPr>
          <w:p>
            <w:pPr>
              <w:pStyle w:val="Compact"/>
              <w:spacing w:after="40"/>
              <w:jc w:val="left"/>
            </w:pPr>
            <w:r>
              <w:rPr>
                <w:sz w:val="18"/>
              </w:rPr>
              <w:t xml:space="preserve">Break</w:t>
            </w:r>
          </w:p>
        </w:tc>
        <w:tc>
          <w:tcPr>
            <w:tcW w:type="dxa" w:w="4917"/>
          </w:tcPr>
          <w:p>
            <w:pPr>
              <w:pStyle w:val="Compact"/>
              <w:spacing w:after="40"/>
            </w:pPr>
          </w:p>
        </w:tc>
        <w:tc>
          <w:tcPr>
            <w:tcW w:type="dxa" w:w="1403"/>
          </w:tcPr>
          <w:p>
            <w:pPr>
              <w:pStyle w:val="Compact"/>
              <w:spacing w:after="40"/>
            </w:pPr>
          </w:p>
        </w:tc>
      </w:tr>
      <w:tr>
        <w:tc>
          <w:tcPr>
            <w:tcW w:type="dxa" w:w="773"/>
          </w:tcPr>
          <w:p>
            <w:pPr>
              <w:pStyle w:val="Compact"/>
              <w:spacing w:after="40"/>
              <w:jc w:val="left"/>
            </w:pPr>
            <w:r>
              <w:rPr>
                <w:sz w:val="18"/>
              </w:rPr>
              <w:t xml:space="preserve">10:45-12:30</w:t>
            </w:r>
          </w:p>
        </w:tc>
        <w:tc>
          <w:tcPr>
            <w:tcW w:type="dxa" w:w="2545"/>
          </w:tcPr>
          <w:p>
            <w:pPr>
              <w:pStyle w:val="Compact"/>
              <w:spacing w:after="40"/>
              <w:jc w:val="left"/>
            </w:pPr>
            <w:r>
              <w:rPr>
                <w:sz w:val="18"/>
              </w:rPr>
              <w:t xml:space="preserve">M7. Data, analytics and forecasting</w:t>
            </w:r>
          </w:p>
        </w:tc>
        <w:tc>
          <w:tcPr>
            <w:tcW w:type="dxa" w:w="4917"/>
          </w:tcPr>
          <w:p>
            <w:pPr>
              <w:pStyle w:val="Compact"/>
              <w:spacing w:after="40"/>
              <w:jc w:val="left"/>
            </w:pPr>
            <w:r>
              <w:rPr>
                <w:sz w:val="18"/>
              </w:rPr>
              <w:t xml:space="preserve">Native reporting (views, charts, dashboards, pipeline view), sales performance analysis, Goals, sales forecasting: hierarchy, forecast categories, adjustments, premium forecasting (Premium). Role of Power BI, including for forecast history (export or forecasting API to the data platform). KPIs typically implemented in Sales projects. Workshop: define 8 target KPIs for sales management</w:t>
            </w:r>
          </w:p>
        </w:tc>
        <w:tc>
          <w:tcPr>
            <w:tcW w:type="dxa" w:w="1403"/>
          </w:tcPr>
          <w:p>
            <w:pPr>
              <w:pStyle w:val="Compact"/>
              <w:spacing w:after="40"/>
              <w:jc w:val="left"/>
            </w:pPr>
            <w:r>
              <w:rPr>
                <w:sz w:val="18"/>
              </w:rPr>
              <w:t xml:space="preserve">Presentation + demo + workshop</w:t>
            </w:r>
          </w:p>
        </w:tc>
      </w:tr>
      <w:tr>
        <w:tc>
          <w:tcPr>
            <w:tcW w:type="dxa" w:w="773"/>
          </w:tcPr>
          <w:p>
            <w:pPr>
              <w:pStyle w:val="Compact"/>
              <w:spacing w:after="40"/>
              <w:jc w:val="left"/>
            </w:pPr>
            <w:r>
              <w:rPr>
                <w:sz w:val="18"/>
              </w:rPr>
              <w:t xml:space="preserve">12:30-13:30</w:t>
            </w:r>
          </w:p>
        </w:tc>
        <w:tc>
          <w:tcPr>
            <w:tcW w:type="dxa" w:w="2545"/>
          </w:tcPr>
          <w:p>
            <w:pPr>
              <w:pStyle w:val="Compact"/>
              <w:spacing w:after="40"/>
              <w:jc w:val="left"/>
            </w:pPr>
            <w:r>
              <w:rPr>
                <w:sz w:val="18"/>
              </w:rPr>
              <w:t xml:space="preserve">Lunch</w:t>
            </w:r>
          </w:p>
        </w:tc>
        <w:tc>
          <w:tcPr>
            <w:tcW w:type="dxa" w:w="4917"/>
          </w:tcPr>
          <w:p>
            <w:pPr>
              <w:pStyle w:val="Compact"/>
              <w:spacing w:after="40"/>
            </w:pPr>
          </w:p>
        </w:tc>
        <w:tc>
          <w:tcPr>
            <w:tcW w:type="dxa" w:w="1403"/>
          </w:tcPr>
          <w:p>
            <w:pPr>
              <w:pStyle w:val="Compact"/>
              <w:spacing w:after="40"/>
            </w:pPr>
          </w:p>
        </w:tc>
      </w:tr>
      <w:tr>
        <w:tc>
          <w:tcPr>
            <w:tcW w:type="dxa" w:w="773"/>
          </w:tcPr>
          <w:p>
            <w:pPr>
              <w:pStyle w:val="Compact"/>
              <w:spacing w:after="40"/>
              <w:jc w:val="left"/>
            </w:pPr>
            <w:r>
              <w:rPr>
                <w:sz w:val="18"/>
              </w:rPr>
              <w:t xml:space="preserve">13:30-14:45</w:t>
            </w:r>
          </w:p>
        </w:tc>
        <w:tc>
          <w:tcPr>
            <w:tcW w:type="dxa" w:w="2545"/>
          </w:tcPr>
          <w:p>
            <w:pPr>
              <w:pStyle w:val="Compact"/>
              <w:spacing w:after="40"/>
              <w:jc w:val="left"/>
            </w:pPr>
            <w:r>
              <w:rPr>
                <w:sz w:val="18"/>
              </w:rPr>
              <w:t xml:space="preserve">M8. Microsoft ecosystem and customisation: overview</w:t>
            </w:r>
          </w:p>
        </w:tc>
        <w:tc>
          <w:tcPr>
            <w:tcW w:type="dxa" w:w="4917"/>
          </w:tcPr>
          <w:p>
            <w:pPr>
              <w:pStyle w:val="Compact"/>
              <w:spacing w:after="40"/>
              <w:jc w:val="left"/>
            </w:pPr>
            <w:r>
              <w:rPr>
                <w:sz w:val="18"/>
              </w:rPr>
              <w:t xml:space="preserve">Teams (collaboration on records, sharing), Outlook, Power Automate (example: discount approval workflow), Power Apps (field companion app), Copilot in Dynamics 365 Sales and Copilot Studio agents, Power BI. Customisation of tables and columns: Dataverse principles, solutions, configuration / low-code / pro-code levels, impact on updates. ERP integration: options and trade-offs</w:t>
            </w:r>
          </w:p>
        </w:tc>
        <w:tc>
          <w:tcPr>
            <w:tcW w:type="dxa" w:w="1403"/>
          </w:tcPr>
          <w:p>
            <w:pPr>
              <w:pStyle w:val="Compact"/>
              <w:spacing w:after="40"/>
              <w:jc w:val="left"/>
            </w:pPr>
            <w:r>
              <w:rPr>
                <w:sz w:val="18"/>
              </w:rPr>
              <w:t xml:space="preserve">Presentation + use cases</w:t>
            </w:r>
          </w:p>
        </w:tc>
      </w:tr>
      <w:tr>
        <w:tc>
          <w:tcPr>
            <w:tcW w:type="dxa" w:w="773"/>
          </w:tcPr>
          <w:p>
            <w:pPr>
              <w:pStyle w:val="Compact"/>
              <w:spacing w:after="40"/>
              <w:jc w:val="left"/>
            </w:pPr>
            <w:r>
              <w:rPr>
                <w:sz w:val="18"/>
              </w:rPr>
              <w:t xml:space="preserve">14:45-15:00</w:t>
            </w:r>
          </w:p>
        </w:tc>
        <w:tc>
          <w:tcPr>
            <w:tcW w:type="dxa" w:w="2545"/>
          </w:tcPr>
          <w:p>
            <w:pPr>
              <w:pStyle w:val="Compact"/>
              <w:spacing w:after="40"/>
              <w:jc w:val="left"/>
            </w:pPr>
            <w:r>
              <w:rPr>
                <w:sz w:val="18"/>
              </w:rPr>
              <w:t xml:space="preserve">Break</w:t>
            </w:r>
          </w:p>
        </w:tc>
        <w:tc>
          <w:tcPr>
            <w:tcW w:type="dxa" w:w="4917"/>
          </w:tcPr>
          <w:p>
            <w:pPr>
              <w:pStyle w:val="Compact"/>
              <w:spacing w:after="40"/>
            </w:pPr>
          </w:p>
        </w:tc>
        <w:tc>
          <w:tcPr>
            <w:tcW w:type="dxa" w:w="1403"/>
          </w:tcPr>
          <w:p>
            <w:pPr>
              <w:pStyle w:val="Compact"/>
              <w:spacing w:after="40"/>
            </w:pPr>
          </w:p>
        </w:tc>
      </w:tr>
      <w:tr>
        <w:tc>
          <w:tcPr>
            <w:tcW w:type="dxa" w:w="773"/>
          </w:tcPr>
          <w:p>
            <w:pPr>
              <w:pStyle w:val="Compact"/>
              <w:spacing w:after="40"/>
              <w:jc w:val="left"/>
            </w:pPr>
            <w:r>
              <w:rPr>
                <w:sz w:val="18"/>
              </w:rPr>
              <w:t xml:space="preserve">15:00-16:15</w:t>
            </w:r>
          </w:p>
        </w:tc>
        <w:tc>
          <w:tcPr>
            <w:tcW w:type="dxa" w:w="2545"/>
          </w:tcPr>
          <w:p>
            <w:pPr>
              <w:pStyle w:val="Compact"/>
              <w:spacing w:after="40"/>
              <w:jc w:val="left"/>
            </w:pPr>
            <w:r>
              <w:rPr>
                <w:sz w:val="18"/>
              </w:rPr>
              <w:t xml:space="preserve">M9. Best practices and case studies</w:t>
            </w:r>
          </w:p>
        </w:tc>
        <w:tc>
          <w:tcPr>
            <w:tcW w:type="dxa" w:w="4917"/>
          </w:tcPr>
          <w:p>
            <w:pPr>
              <w:pStyle w:val="Compact"/>
              <w:spacing w:after="40"/>
              <w:jc w:val="left"/>
            </w:pPr>
            <w:r>
              <w:rPr>
                <w:sz w:val="18"/>
              </w:rPr>
              <w:t xml:space="preserve">Lessons learned from Dynamics 365 Sales projects (manufacturing, electrical equipment, multi-party B2B distribution), common mistakes (over-customisation, technical debt, adoption),</w:t>
            </w:r>
            <w:r>
              <w:rPr>
                <w:sz w:val="18"/>
              </w:rPr>
              <w:t xml:space="preserve"> </w:t>
            </w:r>
            <w:r>
              <w:rPr>
                <w:sz w:val="18"/>
              </w:rPr>
              <w:t xml:space="preserve">“</w:t>
            </w:r>
            <w:r>
              <w:rPr>
                <w:sz w:val="18"/>
              </w:rPr>
              <w:t xml:space="preserve">stay standard or customise</w:t>
            </w:r>
            <w:r>
              <w:rPr>
                <w:sz w:val="18"/>
              </w:rPr>
              <w:t xml:space="preserve">”</w:t>
            </w:r>
            <w:r>
              <w:rPr>
                <w:sz w:val="18"/>
              </w:rPr>
              <w:t xml:space="preserve"> </w:t>
            </w:r>
            <w:r>
              <w:rPr>
                <w:sz w:val="18"/>
              </w:rPr>
              <w:t xml:space="preserve">decision tree, governance of changes, the Product Owner’s stance towards business teams, architects and integrators</w:t>
            </w:r>
          </w:p>
        </w:tc>
        <w:tc>
          <w:tcPr>
            <w:tcW w:type="dxa" w:w="1403"/>
          </w:tcPr>
          <w:p>
            <w:pPr>
              <w:pStyle w:val="Compact"/>
              <w:spacing w:after="40"/>
              <w:jc w:val="left"/>
            </w:pPr>
            <w:r>
              <w:rPr>
                <w:sz w:val="18"/>
              </w:rPr>
              <w:t xml:space="preserve">Presentation + discussion</w:t>
            </w:r>
          </w:p>
        </w:tc>
      </w:tr>
      <w:tr>
        <w:tc>
          <w:tcPr>
            <w:tcW w:type="dxa" w:w="773"/>
          </w:tcPr>
          <w:p>
            <w:pPr>
              <w:pStyle w:val="Compact"/>
              <w:spacing w:after="40"/>
              <w:jc w:val="left"/>
            </w:pPr>
            <w:r>
              <w:rPr>
                <w:sz w:val="18"/>
              </w:rPr>
              <w:t xml:space="preserve">16:15-17:15</w:t>
            </w:r>
          </w:p>
        </w:tc>
        <w:tc>
          <w:tcPr>
            <w:tcW w:type="dxa" w:w="2545"/>
          </w:tcPr>
          <w:p>
            <w:pPr>
              <w:pStyle w:val="Compact"/>
              <w:spacing w:after="40"/>
              <w:jc w:val="left"/>
            </w:pPr>
            <w:r>
              <w:rPr>
                <w:sz w:val="18"/>
              </w:rPr>
              <w:t xml:space="preserve">Workshop 2. Summary of Hager gaps</w:t>
            </w:r>
          </w:p>
        </w:tc>
        <w:tc>
          <w:tcPr>
            <w:tcW w:type="dxa" w:w="4917"/>
          </w:tcPr>
          <w:p>
            <w:pPr>
              <w:pStyle w:val="Compact"/>
              <w:spacing w:after="40"/>
              <w:jc w:val="left"/>
            </w:pPr>
            <w:r>
              <w:rPr>
                <w:sz w:val="18"/>
              </w:rPr>
              <w:t xml:space="preserve">Consolidation of the gaps identified over the 2 days, impact / effort positioning, 3 to 5 priority improvement opportunities, question grid for challenging a business requirement</w:t>
            </w:r>
          </w:p>
        </w:tc>
        <w:tc>
          <w:tcPr>
            <w:tcW w:type="dxa" w:w="1403"/>
          </w:tcPr>
          <w:p>
            <w:pPr>
              <w:pStyle w:val="Compact"/>
              <w:spacing w:after="40"/>
              <w:jc w:val="left"/>
            </w:pPr>
            <w:r>
              <w:rPr>
                <w:sz w:val="18"/>
              </w:rPr>
              <w:t xml:space="preserve">Group workshop</w:t>
            </w:r>
          </w:p>
        </w:tc>
      </w:tr>
      <w:tr>
        <w:tc>
          <w:tcPr>
            <w:tcW w:type="dxa" w:w="773"/>
          </w:tcPr>
          <w:p>
            <w:pPr>
              <w:pStyle w:val="Compact"/>
              <w:spacing w:after="40"/>
              <w:jc w:val="left"/>
            </w:pPr>
            <w:r>
              <w:rPr>
                <w:sz w:val="18"/>
              </w:rPr>
              <w:t xml:space="preserve">17:15-17:30</w:t>
            </w:r>
          </w:p>
        </w:tc>
        <w:tc>
          <w:tcPr>
            <w:tcW w:type="dxa" w:w="2545"/>
          </w:tcPr>
          <w:p>
            <w:pPr>
              <w:pStyle w:val="Compact"/>
              <w:spacing w:after="40"/>
              <w:jc w:val="left"/>
            </w:pPr>
            <w:r>
              <w:rPr>
                <w:sz w:val="18"/>
              </w:rPr>
              <w:t xml:space="preserve">Wrap-up</w:t>
            </w:r>
          </w:p>
        </w:tc>
        <w:tc>
          <w:tcPr>
            <w:tcW w:type="dxa" w:w="4917"/>
          </w:tcPr>
          <w:p>
            <w:pPr>
              <w:pStyle w:val="Compact"/>
              <w:spacing w:after="40"/>
              <w:jc w:val="left"/>
            </w:pPr>
            <w:r>
              <w:rPr>
                <w:sz w:val="18"/>
              </w:rPr>
              <w:t xml:space="preserve">Review, end-of-course evaluation, possible next steps</w:t>
            </w:r>
          </w:p>
        </w:tc>
        <w:tc>
          <w:tcPr>
            <w:tcW w:type="dxa" w:w="1403"/>
          </w:tcPr>
          <w:p>
            <w:pPr>
              <w:pStyle w:val="Compact"/>
              <w:spacing w:after="40"/>
              <w:jc w:val="left"/>
            </w:pPr>
            <w:r>
              <w:rPr>
                <w:sz w:val="18"/>
              </w:rPr>
              <w:t xml:space="preserve">Discussion</w:t>
            </w:r>
          </w:p>
        </w:tc>
      </w:tr>
    </w:tbl>
    <w:bookmarkEnd w:id="27"/>
    <w:bookmarkStart w:id="28" w:name="methods-prerequisites-and-deliverables"/>
    <w:p>
      <w:pPr>
        <w:pStyle w:val="Heading1"/>
      </w:pPr>
      <w:r>
        <w:t xml:space="preserve">Methods, prerequisites and deliverables</w:t>
      </w:r>
    </w:p>
    <w:p>
      <w:pPr>
        <w:pStyle w:val="FirstParagraph"/>
      </w:pPr>
      <w:r>
        <w:t xml:space="preserve">Demonstrations are carried out on a standard Dynamics 365 Sales Enterprise environment, with Premium features shown as options, populated with the ARCHIFRIDAYS running case data, in order to show the product without customisation.</w:t>
      </w:r>
    </w:p>
    <w:p>
      <w:pPr>
        <w:pStyle w:val="BodyText"/>
      </w:pPr>
      <w:r>
        <w:rPr>
          <w:bCs/>
          <w:b/>
        </w:rPr>
        <w:t xml:space="preserve">Preparation with Hager:</w:t>
      </w:r>
    </w:p>
    <w:p>
      <w:pPr>
        <w:numPr>
          <w:ilvl w:val="0"/>
          <w:numId w:val="1003"/>
        </w:numPr>
        <w:pStyle w:val="Compact"/>
      </w:pPr>
      <w:r>
        <w:t xml:space="preserve">A 60 to 90-minute alignment call, about 10 days before the session, to review the Hager documentation (Account, Appointment, Project Spider, Opportunity and Leads customisations), the integrations and the 3 to 5 use cases to address in the workshops.</w:t>
      </w:r>
    </w:p>
    <w:p>
      <w:pPr>
        <w:numPr>
          <w:ilvl w:val="0"/>
          <w:numId w:val="1003"/>
        </w:numPr>
        <w:pStyle w:val="Compact"/>
      </w:pPr>
      <w:r>
        <w:t xml:space="preserve">Information already received: Dynamics 365 Sales Enterprise licence; SAP, Eloqua and Power BI integrations.</w:t>
      </w:r>
    </w:p>
    <w:p>
      <w:pPr>
        <w:pStyle w:val="FirstParagraph"/>
      </w:pPr>
      <w:r>
        <w:rPr>
          <w:bCs/>
          <w:b/>
        </w:rPr>
        <w:t xml:space="preserve">Deliverables provided to participants:</w:t>
      </w:r>
    </w:p>
    <w:p>
      <w:pPr>
        <w:numPr>
          <w:ilvl w:val="0"/>
          <w:numId w:val="1004"/>
        </w:numPr>
        <w:pStyle w:val="Compact"/>
      </w:pPr>
      <w:r>
        <w:t xml:space="preserve">Training materials and summary sheets for each module.</w:t>
      </w:r>
    </w:p>
    <w:p>
      <w:pPr>
        <w:numPr>
          <w:ilvl w:val="0"/>
          <w:numId w:val="1004"/>
        </w:numPr>
        <w:pStyle w:val="Compact"/>
      </w:pPr>
      <w:r>
        <w:t xml:space="preserve">Standard / Hager fit-gap matrix completed during the workshop.</w:t>
      </w:r>
    </w:p>
    <w:p>
      <w:pPr>
        <w:numPr>
          <w:ilvl w:val="0"/>
          <w:numId w:val="1004"/>
        </w:numPr>
        <w:pStyle w:val="Compact"/>
      </w:pPr>
      <w:r>
        <w:t xml:space="preserve">Sales KPI reference framework and</w:t>
      </w:r>
      <w:r>
        <w:t xml:space="preserve"> </w:t>
      </w:r>
      <w:r>
        <w:t xml:space="preserve">“</w:t>
      </w:r>
      <w:r>
        <w:t xml:space="preserve">standard first</w:t>
      </w:r>
      <w:r>
        <w:t xml:space="preserve">”</w:t>
      </w:r>
      <w:r>
        <w:t xml:space="preserve"> </w:t>
      </w:r>
      <w:r>
        <w:t xml:space="preserve">grid for challenging a requirement.</w:t>
      </w:r>
    </w:p>
    <w:p>
      <w:pPr>
        <w:pStyle w:val="FirstParagraph"/>
      </w:pPr>
      <w:r>
        <w:rPr>
          <w:bCs/>
          <w:b/>
        </w:rPr>
        <w:t xml:space="preserve">Assessment:</w:t>
      </w:r>
      <w:r>
        <w:t xml:space="preserve"> </w:t>
      </w:r>
      <w:r>
        <w:t xml:space="preserve">positioning quiz at the opening, assessment of learning through the workshops, end-of-course satisfaction questionnaire.</w:t>
      </w:r>
    </w:p>
    <w:bookmarkEnd w:id="28"/>
    <w:bookmarkStart w:id="29" w:name="X9b39535b7f40997e86c21e9b618315612f0969e"/>
    <w:p>
      <w:pPr>
        <w:pStyle w:val="Heading1"/>
      </w:pPr>
      <w:r>
        <w:t xml:space="preserve">How your feedback has been taken into account</w:t>
      </w:r>
    </w:p>
    <w:tbl>
      <w:tblPr>
        <w:tblStyle w:val="Table"/>
        <w:tblW w:type="dxa" w:w="9638"/>
        <w:tblLayout w:type="fixed"/>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4818"/>
        <w:gridCol w:w="4818"/>
      </w:tblGrid>
      <w:tr>
        <w:trPr>
          <w:tblHeader w:val="true"/>
          <w:tblHeader w:val="true"/>
        </w:trPr>
        <w:tc>
          <w:tcPr>
            <w:tcW w:type="dxa" w:w="4819"/>
            <w:shd w:val="clear" w:color="auto" w:fill="1F3864"/>
          </w:tcPr>
          <w:p>
            <w:pPr>
              <w:pStyle w:val="Compact"/>
              <w:spacing w:after="40"/>
              <w:jc w:val="left"/>
            </w:pPr>
            <w:r>
              <w:rPr>
                <w:b/>
                <w:color w:val="FFFFFF"/>
                <w:sz w:val="18"/>
              </w:rPr>
              <w:t xml:space="preserve">Your feedback</w:t>
            </w:r>
          </w:p>
        </w:tc>
        <w:tc>
          <w:tcPr>
            <w:tcW w:type="dxa" w:w="4819"/>
            <w:shd w:val="clear" w:color="auto" w:fill="1F3864"/>
          </w:tcPr>
          <w:p>
            <w:pPr>
              <w:pStyle w:val="Compact"/>
              <w:spacing w:after="40"/>
              <w:jc w:val="left"/>
            </w:pPr>
            <w:r>
              <w:rPr>
                <w:b/>
                <w:color w:val="FFFFFF"/>
                <w:sz w:val="18"/>
              </w:rPr>
              <w:t xml:space="preserve">Response in the programme</w:t>
            </w:r>
          </w:p>
        </w:tc>
      </w:tr>
      <w:tr>
        <w:tc>
          <w:tcPr>
            <w:tcW w:type="dxa" w:w="4819"/>
          </w:tcPr>
          <w:p>
            <w:pPr>
              <w:pStyle w:val="Compact"/>
              <w:spacing w:after="40"/>
              <w:jc w:val="left"/>
            </w:pPr>
            <w:r>
              <w:rPr>
                <w:sz w:val="18"/>
              </w:rPr>
              <w:t xml:space="preserve">Product Owner / Business Analyst level, not user, administrator or developer</w:t>
            </w:r>
          </w:p>
        </w:tc>
        <w:tc>
          <w:tcPr>
            <w:tcW w:type="dxa" w:w="4819"/>
          </w:tcPr>
          <w:p>
            <w:pPr>
              <w:pStyle w:val="Compact"/>
              <w:spacing w:after="40"/>
              <w:jc w:val="left"/>
            </w:pPr>
            <w:r>
              <w:rPr>
                <w:sz w:val="18"/>
              </w:rPr>
              <w:t xml:space="preserve">Each module starts from the</w:t>
            </w:r>
            <w:r>
              <w:rPr>
                <w:sz w:val="18"/>
              </w:rPr>
              <w:t xml:space="preserve"> </w:t>
            </w:r>
            <w:r>
              <w:rPr>
                <w:sz w:val="18"/>
              </w:rPr>
              <w:t xml:space="preserve">“</w:t>
            </w:r>
            <w:r>
              <w:rPr>
                <w:sz w:val="18"/>
              </w:rPr>
              <w:t xml:space="preserve">why</w:t>
            </w:r>
            <w:r>
              <w:rPr>
                <w:sz w:val="18"/>
              </w:rPr>
              <w:t xml:space="preserve">”</w:t>
            </w:r>
            <w:r>
              <w:rPr>
                <w:sz w:val="18"/>
              </w:rPr>
              <w:t xml:space="preserve"> </w:t>
            </w:r>
            <w:r>
              <w:rPr>
                <w:sz w:val="18"/>
              </w:rPr>
              <w:t xml:space="preserve">of the standard; no transactional hands-on work or advanced configuration</w:t>
            </w:r>
          </w:p>
        </w:tc>
      </w:tr>
      <w:tr>
        <w:tc>
          <w:tcPr>
            <w:tcW w:type="dxa" w:w="4819"/>
          </w:tcPr>
          <w:p>
            <w:pPr>
              <w:pStyle w:val="Compact"/>
              <w:spacing w:after="40"/>
              <w:jc w:val="left"/>
            </w:pPr>
            <w:r>
              <w:rPr>
                <w:sz w:val="18"/>
              </w:rPr>
              <w:t xml:space="preserve">Standard processes, unused native features, best practices</w:t>
            </w:r>
          </w:p>
        </w:tc>
        <w:tc>
          <w:tcPr>
            <w:tcW w:type="dxa" w:w="4819"/>
          </w:tcPr>
          <w:p>
            <w:pPr>
              <w:pStyle w:val="Compact"/>
              <w:spacing w:after="40"/>
              <w:jc w:val="left"/>
            </w:pPr>
            <w:r>
              <w:rPr>
                <w:sz w:val="18"/>
              </w:rPr>
              <w:t xml:space="preserve">M1 and M3, then systematic identification in each module</w:t>
            </w:r>
          </w:p>
        </w:tc>
      </w:tr>
      <w:tr>
        <w:tc>
          <w:tcPr>
            <w:tcW w:type="dxa" w:w="4819"/>
          </w:tcPr>
          <w:p>
            <w:pPr>
              <w:pStyle w:val="Compact"/>
              <w:spacing w:after="40"/>
              <w:jc w:val="left"/>
            </w:pPr>
            <w:r>
              <w:rPr>
                <w:sz w:val="18"/>
              </w:rPr>
              <w:t xml:space="preserve">Users, roles, permissions: overview</w:t>
            </w:r>
          </w:p>
        </w:tc>
        <w:tc>
          <w:tcPr>
            <w:tcW w:type="dxa" w:w="4819"/>
          </w:tcPr>
          <w:p>
            <w:pPr>
              <w:pStyle w:val="Compact"/>
              <w:spacing w:after="40"/>
              <w:jc w:val="left"/>
            </w:pPr>
            <w:r>
              <w:rPr>
                <w:sz w:val="18"/>
              </w:rPr>
              <w:t xml:space="preserve">M2, 30 minutes, focused on what can be configured by role</w:t>
            </w:r>
          </w:p>
        </w:tc>
      </w:tr>
      <w:tr>
        <w:tc>
          <w:tcPr>
            <w:tcW w:type="dxa" w:w="4819"/>
          </w:tcPr>
          <w:p>
            <w:pPr>
              <w:pStyle w:val="Compact"/>
              <w:spacing w:after="40"/>
              <w:jc w:val="left"/>
            </w:pPr>
            <w:r>
              <w:rPr>
                <w:sz w:val="18"/>
              </w:rPr>
              <w:t xml:space="preserve">Dashboards already mastered</w:t>
            </w:r>
          </w:p>
        </w:tc>
        <w:tc>
          <w:tcPr>
            <w:tcW w:type="dxa" w:w="4819"/>
          </w:tcPr>
          <w:p>
            <w:pPr>
              <w:pStyle w:val="Compact"/>
              <w:spacing w:after="40"/>
              <w:jc w:val="left"/>
            </w:pPr>
            <w:r>
              <w:rPr>
                <w:sz w:val="18"/>
              </w:rPr>
              <w:t xml:space="preserve">Quick refresher in M2, then analytical use in M7</w:t>
            </w:r>
          </w:p>
        </w:tc>
      </w:tr>
      <w:tr>
        <w:tc>
          <w:tcPr>
            <w:tcW w:type="dxa" w:w="4819"/>
          </w:tcPr>
          <w:p>
            <w:pPr>
              <w:pStyle w:val="Compact"/>
              <w:spacing w:after="40"/>
              <w:jc w:val="left"/>
            </w:pPr>
            <w:r>
              <w:rPr>
                <w:sz w:val="18"/>
              </w:rPr>
              <w:t xml:space="preserve">Accounts and contacts already mastered</w:t>
            </w:r>
          </w:p>
        </w:tc>
        <w:tc>
          <w:tcPr>
            <w:tcW w:type="dxa" w:w="4819"/>
          </w:tcPr>
          <w:p>
            <w:pPr>
              <w:pStyle w:val="Compact"/>
              <w:spacing w:after="40"/>
              <w:jc w:val="left"/>
            </w:pPr>
            <w:r>
              <w:rPr>
                <w:sz w:val="18"/>
              </w:rPr>
              <w:t xml:space="preserve">Covered in summary form in M3</w:t>
            </w:r>
          </w:p>
        </w:tc>
      </w:tr>
      <w:tr>
        <w:tc>
          <w:tcPr>
            <w:tcW w:type="dxa" w:w="4819"/>
          </w:tcPr>
          <w:p>
            <w:pPr>
              <w:pStyle w:val="Compact"/>
              <w:spacing w:after="40"/>
              <w:jc w:val="left"/>
            </w:pPr>
            <w:r>
              <w:rPr>
                <w:sz w:val="18"/>
              </w:rPr>
              <w:t xml:space="preserve">More time on interactions, relationship assistant, leads, conversion, opportunities, quotes, orders, invoices</w:t>
            </w:r>
          </w:p>
        </w:tc>
        <w:tc>
          <w:tcPr>
            <w:tcW w:type="dxa" w:w="4819"/>
          </w:tcPr>
          <w:p>
            <w:pPr>
              <w:pStyle w:val="Compact"/>
              <w:spacing w:after="40"/>
              <w:jc w:val="left"/>
            </w:pPr>
            <w:r>
              <w:rPr>
                <w:sz w:val="18"/>
              </w:rPr>
              <w:t xml:space="preserve">M4, M5 and M6: 4 hours 15 minutes in total, with an end-to-end demonstration</w:t>
            </w:r>
          </w:p>
        </w:tc>
      </w:tr>
      <w:tr>
        <w:tc>
          <w:tcPr>
            <w:tcW w:type="dxa" w:w="4819"/>
          </w:tcPr>
          <w:p>
            <w:pPr>
              <w:pStyle w:val="Compact"/>
              <w:spacing w:after="40"/>
              <w:jc w:val="left"/>
            </w:pPr>
            <w:r>
              <w:rPr>
                <w:sz w:val="18"/>
              </w:rPr>
              <w:t xml:space="preserve">Reporting, performance, forecasting, KPIs</w:t>
            </w:r>
          </w:p>
        </w:tc>
        <w:tc>
          <w:tcPr>
            <w:tcW w:type="dxa" w:w="4819"/>
          </w:tcPr>
          <w:p>
            <w:pPr>
              <w:pStyle w:val="Compact"/>
              <w:spacing w:after="40"/>
              <w:jc w:val="left"/>
            </w:pPr>
            <w:r>
              <w:rPr>
                <w:sz w:val="18"/>
              </w:rPr>
              <w:t xml:space="preserve">M7: 1 hour 45 minutes with a KPI workshop</w:t>
            </w:r>
          </w:p>
        </w:tc>
      </w:tr>
      <w:tr>
        <w:tc>
          <w:tcPr>
            <w:tcW w:type="dxa" w:w="4819"/>
          </w:tcPr>
          <w:p>
            <w:pPr>
              <w:pStyle w:val="Compact"/>
              <w:spacing w:after="40"/>
              <w:jc w:val="left"/>
            </w:pPr>
            <w:r>
              <w:rPr>
                <w:sz w:val="18"/>
              </w:rPr>
              <w:t xml:space="preserve">Entity customisation: general overview</w:t>
            </w:r>
          </w:p>
        </w:tc>
        <w:tc>
          <w:tcPr>
            <w:tcW w:type="dxa" w:w="4819"/>
          </w:tcPr>
          <w:p>
            <w:pPr>
              <w:pStyle w:val="Compact"/>
              <w:spacing w:after="40"/>
              <w:jc w:val="left"/>
            </w:pPr>
            <w:r>
              <w:rPr>
                <w:sz w:val="18"/>
              </w:rPr>
              <w:t xml:space="preserve">M8, principles and impact only</w:t>
            </w:r>
          </w:p>
        </w:tc>
      </w:tr>
      <w:tr>
        <w:tc>
          <w:tcPr>
            <w:tcW w:type="dxa" w:w="4819"/>
          </w:tcPr>
          <w:p>
            <w:pPr>
              <w:pStyle w:val="Compact"/>
              <w:spacing w:after="40"/>
              <w:jc w:val="left"/>
            </w:pPr>
            <w:r>
              <w:rPr>
                <w:sz w:val="18"/>
              </w:rPr>
              <w:t xml:space="preserve">Power Platform: business use cases without development</w:t>
            </w:r>
          </w:p>
        </w:tc>
        <w:tc>
          <w:tcPr>
            <w:tcW w:type="dxa" w:w="4819"/>
          </w:tcPr>
          <w:p>
            <w:pPr>
              <w:pStyle w:val="Compact"/>
              <w:spacing w:after="40"/>
              <w:jc w:val="left"/>
            </w:pPr>
            <w:r>
              <w:rPr>
                <w:sz w:val="18"/>
              </w:rPr>
              <w:t xml:space="preserve">M8, illustrated use cases</w:t>
            </w:r>
          </w:p>
        </w:tc>
      </w:tr>
      <w:tr>
        <w:tc>
          <w:tcPr>
            <w:tcW w:type="dxa" w:w="4819"/>
          </w:tcPr>
          <w:p>
            <w:pPr>
              <w:pStyle w:val="Compact"/>
              <w:spacing w:after="40"/>
              <w:jc w:val="left"/>
            </w:pPr>
            <w:r>
              <w:rPr>
                <w:sz w:val="18"/>
              </w:rPr>
              <w:t xml:space="preserve">Best practices, lessons learned, standard versus specific</w:t>
            </w:r>
          </w:p>
        </w:tc>
        <w:tc>
          <w:tcPr>
            <w:tcW w:type="dxa" w:w="4819"/>
          </w:tcPr>
          <w:p>
            <w:pPr>
              <w:pStyle w:val="Compact"/>
              <w:spacing w:after="40"/>
              <w:jc w:val="left"/>
            </w:pPr>
            <w:r>
              <w:rPr>
                <w:sz w:val="18"/>
              </w:rPr>
              <w:t xml:space="preserve">M9 and the two workshops: 3 hours in total</w:t>
            </w:r>
          </w:p>
        </w:tc>
      </w:tr>
      <w:tr>
        <w:tc>
          <w:tcPr>
            <w:tcW w:type="dxa" w:w="4819"/>
          </w:tcPr>
          <w:p>
            <w:pPr>
              <w:pStyle w:val="Compact"/>
              <w:spacing w:after="40"/>
              <w:jc w:val="left"/>
            </w:pPr>
            <w:r>
              <w:rPr>
                <w:sz w:val="18"/>
              </w:rPr>
              <w:t xml:space="preserve">Link with the Hager context and its gaps</w:t>
            </w:r>
          </w:p>
        </w:tc>
        <w:tc>
          <w:tcPr>
            <w:tcW w:type="dxa" w:w="4819"/>
          </w:tcPr>
          <w:p>
            <w:pPr>
              <w:pStyle w:val="Compact"/>
              <w:spacing w:after="40"/>
              <w:jc w:val="left"/>
            </w:pPr>
            <w:r>
              <w:rPr>
                <w:sz w:val="18"/>
              </w:rPr>
              <w:t xml:space="preserve">Day 1 opening, Workshop 1 and Workshop 2</w:t>
            </w:r>
          </w:p>
        </w:tc>
      </w:tr>
    </w:tbl>
    <w:bookmarkEnd w:id="29"/>
    <w:sectPr>
      <w:footerReference w:type="default" r:id="rId9"/>
      <w:pgSz w:w="11906" w:h="16838"/>
      <w:pgMar w:left="1134" w:right="1134"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95959"/>
        <w:sz w:val="16"/>
      </w:rPr>
      <w:t xml:space="preserve">ARCHIA365 · Dynamics 365 Sales training, Product Owner / Business Analyst level  ·  page </w:t>
    </w:r>
    <w:r>
      <w:rPr>
        <w:color w:val="595959"/>
        <w:sz w:val="16"/>
      </w:rPr>
      <w:fldChar w:fldCharType="begin"/>
    </w:r>
    <w:r>
      <w:rPr>
        <w:color w:val="595959"/>
        <w:sz w:val="16"/>
      </w:rPr>
      <w:instrText xml:space="preserve">PAGE</w:instrText>
    </w:r>
    <w:r>
      <w:rPr>
        <w:color w:val="595959"/>
        <w:sz w:val="1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pPr>
    <w:rPr>
      <w:rFonts w:ascii="Calibri" w:eastAsia="Calibri" w:hAnsi="Calibri"/>
      <w:sz w:val="21"/>
    </w:rPr>
  </w:style>
  <w:style w:styleId="BodyText" w:type="paragraph">
    <w:name w:val="Body Text"/>
    <w:basedOn w:val="Normal"/>
    <w:link w:val="BodyTextChar"/>
    <w:pPr>
      <w:spacing w:after="120" w:before="180"/>
    </w:pPr>
    <w:qFormat/>
    <w:rPr>
      <w:rFonts w:ascii="Calibri" w:eastAsia="Calibri" w:hAnsi="Calibri"/>
      <w:sz w:val="21"/>
    </w:rPr>
  </w:style>
  <w:style w:customStyle="1" w:styleId="FirstParagraph" w:type="paragraph">
    <w:name w:val="First Paragraph"/>
    <w:basedOn w:val="BodyText"/>
    <w:next w:val="BodyText"/>
    <w:qFormat/>
    <w:pPr>
      <w:spacing w:after="120"/>
    </w:pPr>
    <w:rPr>
      <w:rFonts w:ascii="Calibri" w:eastAsia="Calibri" w:hAnsi="Calibri"/>
      <w:sz w:val="21"/>
    </w:rPr>
  </w:style>
  <w:style w:customStyle="1" w:styleId="Compact" w:type="paragraph">
    <w:name w:val="Compact"/>
    <w:basedOn w:val="BodyText"/>
    <w:qFormat/>
    <w:pPr>
      <w:spacing w:after="120" w:before="36"/>
    </w:pPr>
    <w:rPr>
      <w:rFonts w:ascii="Calibri" w:eastAsia="Calibri" w:hAnsi="Calibri"/>
      <w:sz w:val="21"/>
    </w:rPr>
  </w:style>
  <w:style w:styleId="Title" w:type="paragraph">
    <w:name w:val="Title"/>
    <w:basedOn w:val="Normal"/>
    <w:next w:val="BodyText"/>
    <w:qFormat/>
    <w:pPr>
      <w:keepNext/>
      <w:keepLines/>
      <w:spacing w:after="120" w:before="280"/>
      <w:jc w:val="center"/>
    </w:pPr>
    <w:rPr>
      <w:rFonts w:ascii="Calibri" w:cs="Calibri" w:eastAsia="Calibri" w:hAnsi="Calibri"/>
      <w:b/>
      <w:bCs/>
      <w:color w:val="1F3864"/>
      <w:sz w:val="48"/>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280"/>
      <w:outlineLvl w:val="0"/>
    </w:pPr>
    <w:rPr>
      <w:rFonts w:ascii="Calibri" w:cs="Calibri" w:eastAsia="Calibri" w:hAnsi="Calibri"/>
      <w:b/>
      <w:bCs/>
      <w:color w:val="1F3864"/>
      <w:sz w:val="36"/>
      <w:szCs w:val="32"/>
    </w:rPr>
  </w:style>
  <w:style w:styleId="Heading2" w:type="paragraph">
    <w:name w:val="Heading 2"/>
    <w:basedOn w:val="Normal"/>
    <w:next w:val="BodyText"/>
    <w:uiPriority w:val="9"/>
    <w:unhideWhenUsed/>
    <w:qFormat/>
    <w:pPr>
      <w:keepNext/>
      <w:keepLines/>
      <w:spacing w:after="120" w:before="280"/>
      <w:outlineLvl w:val="1"/>
    </w:pPr>
    <w:rPr>
      <w:rFonts w:ascii="Calibri" w:cs="Calibri" w:eastAsia="Calibri" w:hAnsi="Calibri"/>
      <w:b/>
      <w:bCs/>
      <w:color w:val="1F3864"/>
      <w:sz w:val="28"/>
      <w:szCs w:val="28"/>
    </w:rPr>
  </w:style>
  <w:style w:styleId="Heading3" w:type="paragraph">
    <w:name w:val="Heading 3"/>
    <w:basedOn w:val="Normal"/>
    <w:next w:val="BodyText"/>
    <w:uiPriority w:val="9"/>
    <w:unhideWhenUsed/>
    <w:qFormat/>
    <w:pPr>
      <w:keepNext/>
      <w:keepLines/>
      <w:spacing w:after="120" w:before="200"/>
      <w:outlineLvl w:val="2"/>
    </w:pPr>
    <w:rPr>
      <w:rFonts w:ascii="Calibri" w:cs="Calibri" w:eastAsia="Calibri" w:hAnsi="Calibri"/>
      <w:b/>
      <w:bCs/>
      <w:color w:val="1F3864"/>
      <w:sz w:val="24"/>
      <w:szCs w:val="24"/>
    </w:rPr>
  </w:style>
  <w:style w:styleId="Heading4" w:type="paragraph">
    <w:name w:val="Heading 4"/>
    <w:basedOn w:val="Normal"/>
    <w:next w:val="BodyText"/>
    <w:uiPriority w:val="9"/>
    <w:unhideWhenUsed/>
    <w:qFormat/>
    <w:pPr>
      <w:keepNext/>
      <w:keepLines/>
      <w:spacing w:after="120" w:before="200"/>
      <w:outlineLvl w:val="3"/>
    </w:pPr>
    <w:rPr>
      <w:rFonts w:ascii="Calibri" w:cs="Calibri" w:eastAsia="Calibri" w:hAnsi="Calibri"/>
      <w:i/>
      <w:b/>
      <w:bCs/>
      <w:color w:val="1F3864"/>
      <w:sz w:val="22"/>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7" Type="http://schemas.openxmlformats.org/officeDocument/2006/relationships/footnotes" Target="footnotes.xml"/><Relationship Id="rId25"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24" Type="http://schemas.openxmlformats.org/officeDocument/2006/relationships/customXml" Target="../customXml/item2.xml"/><Relationship Id="rId5" Type="http://schemas.openxmlformats.org/officeDocument/2006/relationships/fontTable" Target="fontTable.xml"/><Relationship Id="rId23" Type="http://schemas.openxmlformats.org/officeDocument/2006/relationships/customXml" Target="../customXml/item1.xml"/><Relationship Id="rId4" Type="http://schemas.openxmlformats.org/officeDocument/2006/relationships/webSettings" Target="webSettings.xml"/><Relationship Id="rId22" Type="http://schemas.openxmlformats.org/officeDocument/2006/relationships/image" Target="media/rId22.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085964E25350F4FB3FE643AE11B2B20" ma:contentTypeVersion="11" ma:contentTypeDescription="Crée un document." ma:contentTypeScope="" ma:versionID="e7f39a783ac8ecc05738e5ff5477c03a">
  <xsd:schema xmlns:xsd="http://www.w3.org/2001/XMLSchema" xmlns:xs="http://www.w3.org/2001/XMLSchema" xmlns:p="http://schemas.microsoft.com/office/2006/metadata/properties" xmlns:ns2="d9df9240-fc95-4deb-9c9d-de700c44a7a7" xmlns:ns3="33363a87-7e43-46da-9332-4c6d176b06e4" targetNamespace="http://schemas.microsoft.com/office/2006/metadata/properties" ma:root="true" ma:fieldsID="1f2644dde6637e6a93862dcbdf794115" ns2:_="" ns3:_="">
    <xsd:import namespace="d9df9240-fc95-4deb-9c9d-de700c44a7a7"/>
    <xsd:import namespace="33363a87-7e43-46da-9332-4c6d176b06e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df9240-fc95-4deb-9c9d-de700c44a7a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4ef1542d-73bf-4483-a10a-dd7f0542ff0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3363a87-7e43-46da-9332-4c6d176b06e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3c4884d-0209-46c7-838c-3dc439699bfd}" ma:internalName="TaxCatchAll" ma:showField="CatchAllData" ma:web="33363a87-7e43-46da-9332-4c6d176b06e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3363a87-7e43-46da-9332-4c6d176b06e4" xsi:nil="true"/>
    <lcf76f155ced4ddcb4097134ff3c332f xmlns="d9df9240-fc95-4deb-9c9d-de700c44a7a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87469B7-2A13-41EC-B4B8-10FC38C019F9}"/>
</file>

<file path=customXml/itemProps2.xml><?xml version="1.0" encoding="utf-8"?>
<ds:datastoreItem xmlns:ds="http://schemas.openxmlformats.org/officeDocument/2006/customXml" ds:itemID="{F468EAD6-8F9C-4353-8280-D15EFB8FB237}"/>
</file>

<file path=customXml/itemProps3.xml><?xml version="1.0" encoding="utf-8"?>
<ds:datastoreItem xmlns:ds="http://schemas.openxmlformats.org/officeDocument/2006/customXml" ds:itemID="{ECEC77A4-630D-4A97-8C5D-7787806E7BD6}"/>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Dynamics 365 Sales Training Programme</dc:title>
  <dc:creator>ARCHIA365</dc:creator>
  <cp:keywords/>
  <dcterms:created xsi:type="dcterms:W3CDTF">2026-10-12T11:25:49Z</dcterms:created>
  <dcterms:modified xsi:type="dcterms:W3CDTF">2026-10-12T11:25:49Z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Product Owner / Business Analyst level · 2 days on site (14 hours)</vt:lpwstr>
  </property>
  <property fmtid="{D5CDD505-2E9C-101B-9397-08002B2CF9AE}" pid="3" name="ContentTypeId">
    <vt:lpwstr>0x0101000085964E25350F4FB3FE643AE11B2B20</vt:lpwstr>
  </property>
</Properties>
</file>