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04"/>
        <w:gridCol w:w="7458"/>
      </w:tblGrid>
      <w:tr w:rsidR="00863AC5" w:rsidTr="00863AC5">
        <w:tc>
          <w:tcPr>
            <w:tcW w:w="1129" w:type="dxa"/>
          </w:tcPr>
          <w:p w:rsidR="00863AC5" w:rsidRDefault="00863AC5">
            <w:r>
              <w:t>MIME</w:t>
            </w:r>
          </w:p>
        </w:tc>
        <w:tc>
          <w:tcPr>
            <w:tcW w:w="7933" w:type="dxa"/>
          </w:tcPr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r>
              <w:t xml:space="preserve">Multipurpose </w:t>
            </w:r>
            <w:proofErr w:type="gramStart"/>
            <w:r>
              <w:t>Internet Mail</w:t>
            </w:r>
            <w:proofErr w:type="gramEnd"/>
            <w:r>
              <w:t xml:space="preserve"> Extension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r>
              <w:t xml:space="preserve">MIME ermöglicht es, zwischen Sender und Empfänger Informationen über den Typ der übermittelten Daten auszutauschen und gleichzeitig eine für den verwendeten Übertragungsweg geeignete </w:t>
            </w:r>
            <w:hyperlink r:id="rId5" w:tooltip="Zeichenkodierung" w:history="1">
              <w:r>
                <w:rPr>
                  <w:rStyle w:val="Hyperlink"/>
                </w:rPr>
                <w:t>Zeichenkodierung</w:t>
              </w:r>
            </w:hyperlink>
            <w:r>
              <w:t xml:space="preserve"> festzulegen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text</w:t>
            </w:r>
            <w:proofErr w:type="spellEnd"/>
            <w:r w:rsidRPr="00863AC5">
              <w:t xml:space="preserve"> – für Text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image</w:t>
            </w:r>
            <w:proofErr w:type="spellEnd"/>
            <w:r w:rsidRPr="00863AC5">
              <w:t xml:space="preserve"> – für Grafiken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r w:rsidRPr="00863AC5">
              <w:t xml:space="preserve"> </w:t>
            </w:r>
            <w:proofErr w:type="spellStart"/>
            <w:r w:rsidRPr="00863AC5">
              <w:t>video</w:t>
            </w:r>
            <w:proofErr w:type="spellEnd"/>
            <w:r w:rsidRPr="00863AC5">
              <w:t xml:space="preserve"> – für Videomaterial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audio</w:t>
            </w:r>
            <w:proofErr w:type="spellEnd"/>
            <w:r w:rsidRPr="00863AC5">
              <w:t xml:space="preserve"> – für Audiodaten –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application</w:t>
            </w:r>
            <w:proofErr w:type="spellEnd"/>
            <w:r w:rsidRPr="00863AC5">
              <w:t xml:space="preserve"> – für </w:t>
            </w:r>
            <w:proofErr w:type="spellStart"/>
            <w:r w:rsidRPr="00863AC5">
              <w:t>uninterpretierte</w:t>
            </w:r>
            <w:proofErr w:type="spellEnd"/>
            <w:r w:rsidRPr="00863AC5">
              <w:t xml:space="preserve"> binäre Daten, Mischformate oder Informationen, die von einem bestimmten Programm verarbeitet werden sollen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multipart</w:t>
            </w:r>
            <w:proofErr w:type="spellEnd"/>
            <w:r w:rsidRPr="00863AC5">
              <w:t xml:space="preserve"> – für mehrteilige Daten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message</w:t>
            </w:r>
            <w:proofErr w:type="spellEnd"/>
            <w:r w:rsidRPr="00863AC5">
              <w:t xml:space="preserve"> – für Nachrichten, beispielsweise </w:t>
            </w:r>
            <w:proofErr w:type="spellStart"/>
            <w:r w:rsidRPr="00863AC5">
              <w:t>message</w:t>
            </w:r>
            <w:proofErr w:type="spellEnd"/>
            <w:r w:rsidRPr="00863AC5">
              <w:t xml:space="preserve">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model</w:t>
            </w:r>
            <w:proofErr w:type="spellEnd"/>
            <w:r w:rsidRPr="00863AC5">
              <w:t xml:space="preserve"> – für Daten, die mehrdimensionale Strukturen repräsentieren 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863AC5">
              <w:t>example</w:t>
            </w:r>
            <w:proofErr w:type="spellEnd"/>
            <w:r w:rsidRPr="00863AC5">
              <w:t xml:space="preserve"> – Beispiel-Medientyp für Dokumentationen</w:t>
            </w:r>
          </w:p>
        </w:tc>
      </w:tr>
      <w:tr w:rsidR="00863AC5" w:rsidTr="00863AC5">
        <w:tc>
          <w:tcPr>
            <w:tcW w:w="1129" w:type="dxa"/>
          </w:tcPr>
          <w:p w:rsidR="00863AC5" w:rsidRDefault="00863AC5">
            <w:r>
              <w:t>DBR</w:t>
            </w:r>
          </w:p>
        </w:tc>
        <w:tc>
          <w:tcPr>
            <w:tcW w:w="7933" w:type="dxa"/>
          </w:tcPr>
          <w:p w:rsidR="0026589F" w:rsidRDefault="0026589F" w:rsidP="00863AC5">
            <w:pPr>
              <w:pStyle w:val="Listenabsatz"/>
              <w:numPr>
                <w:ilvl w:val="0"/>
                <w:numId w:val="2"/>
              </w:numPr>
            </w:pPr>
            <w:r>
              <w:t xml:space="preserve">Data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863AC5" w:rsidRDefault="00863AC5" w:rsidP="00863AC5">
            <w:pPr>
              <w:pStyle w:val="Listenabsatz"/>
              <w:numPr>
                <w:ilvl w:val="0"/>
                <w:numId w:val="2"/>
              </w:numPr>
            </w:pPr>
            <w:r>
              <w:t>Datenbasiertes Rendern</w:t>
            </w:r>
          </w:p>
          <w:p w:rsidR="00863AC5" w:rsidRDefault="00863AC5" w:rsidP="0026589F">
            <w:pPr>
              <w:pStyle w:val="Listenabsatz"/>
              <w:numPr>
                <w:ilvl w:val="0"/>
                <w:numId w:val="2"/>
              </w:numPr>
            </w:pPr>
            <w:r>
              <w:t xml:space="preserve">Gehört zum </w:t>
            </w:r>
            <w:proofErr w:type="spellStart"/>
            <w:r>
              <w:t>Application</w:t>
            </w:r>
            <w:proofErr w:type="spellEnd"/>
            <w:r>
              <w:t xml:space="preserve"> MIME Type</w:t>
            </w:r>
          </w:p>
        </w:tc>
      </w:tr>
      <w:tr w:rsidR="00863AC5" w:rsidTr="00863AC5">
        <w:tc>
          <w:tcPr>
            <w:tcW w:w="1129" w:type="dxa"/>
          </w:tcPr>
          <w:p w:rsidR="00863AC5" w:rsidRDefault="0026589F">
            <w:r>
              <w:t>ABR</w:t>
            </w:r>
          </w:p>
        </w:tc>
        <w:tc>
          <w:tcPr>
            <w:tcW w:w="7933" w:type="dxa"/>
          </w:tcPr>
          <w:p w:rsidR="00863AC5" w:rsidRDefault="0026589F" w:rsidP="0026589F">
            <w:pPr>
              <w:pStyle w:val="Listenabsatz"/>
              <w:numPr>
                <w:ilvl w:val="0"/>
                <w:numId w:val="3"/>
              </w:numPr>
            </w:pPr>
            <w:r>
              <w:t xml:space="preserve">Audio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26589F" w:rsidRDefault="0026589F" w:rsidP="0026589F">
            <w:pPr>
              <w:pStyle w:val="Listenabsatz"/>
              <w:numPr>
                <w:ilvl w:val="0"/>
                <w:numId w:val="3"/>
              </w:numPr>
            </w:pPr>
            <w:r>
              <w:t>Gehört zum Audio MIME Type</w:t>
            </w:r>
          </w:p>
          <w:p w:rsidR="0026589F" w:rsidRDefault="0026589F" w:rsidP="0026589F">
            <w:pPr>
              <w:pStyle w:val="Listenabsatz"/>
              <w:numPr>
                <w:ilvl w:val="0"/>
                <w:numId w:val="3"/>
              </w:numPr>
            </w:pPr>
            <w:r>
              <w:t>Umwandeln von Audiodatei zu hörbarem Ton</w:t>
            </w:r>
          </w:p>
        </w:tc>
      </w:tr>
      <w:tr w:rsidR="00863AC5" w:rsidTr="00863AC5">
        <w:tc>
          <w:tcPr>
            <w:tcW w:w="1129" w:type="dxa"/>
          </w:tcPr>
          <w:p w:rsidR="00863AC5" w:rsidRDefault="0026589F">
            <w:r>
              <w:t>IBR</w:t>
            </w:r>
          </w:p>
        </w:tc>
        <w:tc>
          <w:tcPr>
            <w:tcW w:w="7933" w:type="dxa"/>
          </w:tcPr>
          <w:p w:rsidR="00863AC5" w:rsidRDefault="0026589F" w:rsidP="0026589F">
            <w:pPr>
              <w:pStyle w:val="Listenabsatz"/>
              <w:numPr>
                <w:ilvl w:val="0"/>
                <w:numId w:val="4"/>
              </w:numPr>
            </w:pPr>
            <w:r>
              <w:t xml:space="preserve">Image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26589F" w:rsidRDefault="0026589F" w:rsidP="0026589F">
            <w:pPr>
              <w:pStyle w:val="Listenabsatz"/>
              <w:numPr>
                <w:ilvl w:val="0"/>
                <w:numId w:val="4"/>
              </w:numPr>
            </w:pPr>
            <w:r>
              <w:t>Gehört zum Image MIME Type</w:t>
            </w:r>
          </w:p>
          <w:p w:rsidR="0026589F" w:rsidRDefault="0026589F" w:rsidP="0026589F">
            <w:pPr>
              <w:pStyle w:val="Listenabsatz"/>
              <w:numPr>
                <w:ilvl w:val="0"/>
                <w:numId w:val="4"/>
              </w:numPr>
            </w:pPr>
            <w:r>
              <w:t>Ermöglicht 3D Darstellung auf Basis von Bildern</w:t>
            </w:r>
          </w:p>
        </w:tc>
      </w:tr>
      <w:tr w:rsidR="00863AC5" w:rsidTr="00863AC5">
        <w:tc>
          <w:tcPr>
            <w:tcW w:w="1129" w:type="dxa"/>
          </w:tcPr>
          <w:p w:rsidR="00863AC5" w:rsidRDefault="0026589F">
            <w:r>
              <w:t>PBR</w:t>
            </w:r>
          </w:p>
        </w:tc>
        <w:tc>
          <w:tcPr>
            <w:tcW w:w="7933" w:type="dxa"/>
          </w:tcPr>
          <w:p w:rsidR="00863AC5" w:rsidRDefault="0026589F" w:rsidP="0026589F">
            <w:pPr>
              <w:pStyle w:val="Listenabsatz"/>
              <w:numPr>
                <w:ilvl w:val="0"/>
                <w:numId w:val="5"/>
              </w:numPr>
            </w:pPr>
            <w:proofErr w:type="spellStart"/>
            <w:r w:rsidRPr="0026589F">
              <w:t>Physically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26589F" w:rsidRDefault="0026589F" w:rsidP="0026589F">
            <w:pPr>
              <w:pStyle w:val="Listenabsatz"/>
              <w:numPr>
                <w:ilvl w:val="0"/>
                <w:numId w:val="5"/>
              </w:numPr>
            </w:pPr>
            <w:r>
              <w:t xml:space="preserve">Gehört zum </w:t>
            </w:r>
            <w:r w:rsidR="008E078F">
              <w:t>Message</w:t>
            </w:r>
            <w:r w:rsidR="008E078F">
              <w:t xml:space="preserve"> </w:t>
            </w:r>
            <w:r>
              <w:t xml:space="preserve">MIME Type </w:t>
            </w:r>
          </w:p>
        </w:tc>
      </w:tr>
      <w:tr w:rsidR="00863AC5" w:rsidTr="00863AC5">
        <w:tc>
          <w:tcPr>
            <w:tcW w:w="1129" w:type="dxa"/>
          </w:tcPr>
          <w:p w:rsidR="00863AC5" w:rsidRDefault="0026589F">
            <w:r>
              <w:t>GBR</w:t>
            </w:r>
          </w:p>
        </w:tc>
        <w:tc>
          <w:tcPr>
            <w:tcW w:w="7933" w:type="dxa"/>
          </w:tcPr>
          <w:p w:rsidR="00863AC5" w:rsidRDefault="0026589F" w:rsidP="0026589F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Geometry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26589F" w:rsidRDefault="008E078F" w:rsidP="0026589F">
            <w:pPr>
              <w:pStyle w:val="Listenabsatz"/>
              <w:numPr>
                <w:ilvl w:val="0"/>
                <w:numId w:val="6"/>
              </w:numPr>
            </w:pPr>
            <w:r>
              <w:t>Gehört zum Model MIME Type</w:t>
            </w:r>
          </w:p>
          <w:p w:rsidR="008E078F" w:rsidRDefault="008E078F" w:rsidP="0026589F">
            <w:pPr>
              <w:pStyle w:val="Listenabsatz"/>
              <w:numPr>
                <w:ilvl w:val="0"/>
                <w:numId w:val="6"/>
              </w:numPr>
            </w:pPr>
            <w:r>
              <w:t>3D Darstellung auf Basis von Geometrie</w:t>
            </w:r>
          </w:p>
        </w:tc>
      </w:tr>
      <w:tr w:rsidR="00863AC5" w:rsidTr="00863AC5">
        <w:tc>
          <w:tcPr>
            <w:tcW w:w="1129" w:type="dxa"/>
          </w:tcPr>
          <w:p w:rsidR="00863AC5" w:rsidRDefault="008E078F">
            <w:r>
              <w:t>MBR</w:t>
            </w:r>
          </w:p>
        </w:tc>
        <w:tc>
          <w:tcPr>
            <w:tcW w:w="7933" w:type="dxa"/>
          </w:tcPr>
          <w:p w:rsidR="00863AC5" w:rsidRDefault="008E078F" w:rsidP="008E078F">
            <w:pPr>
              <w:pStyle w:val="Listenabsatz"/>
              <w:numPr>
                <w:ilvl w:val="0"/>
                <w:numId w:val="7"/>
              </w:numPr>
            </w:pPr>
            <w:r>
              <w:t xml:space="preserve">Multi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7"/>
              </w:numPr>
            </w:pPr>
            <w:r>
              <w:t>Gehört zum Multipart MIME Type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7"/>
              </w:numPr>
            </w:pPr>
            <w:r>
              <w:t>Mehrteilig z.B. Verzeichnis</w:t>
            </w:r>
          </w:p>
        </w:tc>
      </w:tr>
      <w:tr w:rsidR="00863AC5" w:rsidTr="00863AC5">
        <w:tc>
          <w:tcPr>
            <w:tcW w:w="1129" w:type="dxa"/>
          </w:tcPr>
          <w:p w:rsidR="00863AC5" w:rsidRDefault="008E078F">
            <w:r>
              <w:t>VBR</w:t>
            </w:r>
          </w:p>
        </w:tc>
        <w:tc>
          <w:tcPr>
            <w:tcW w:w="7933" w:type="dxa"/>
          </w:tcPr>
          <w:p w:rsidR="00863AC5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Video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Gehört zum Video MIME Type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Ermöglicht 3D Modell Erstellung auf Basis von Videos</w:t>
            </w:r>
          </w:p>
        </w:tc>
      </w:tr>
      <w:tr w:rsidR="008E078F" w:rsidTr="00863AC5">
        <w:tc>
          <w:tcPr>
            <w:tcW w:w="1129" w:type="dxa"/>
          </w:tcPr>
          <w:p w:rsidR="008E078F" w:rsidRDefault="008E078F">
            <w:r>
              <w:t>SBR</w:t>
            </w:r>
          </w:p>
        </w:tc>
        <w:tc>
          <w:tcPr>
            <w:tcW w:w="7933" w:type="dxa"/>
          </w:tcPr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Senso </w:t>
            </w:r>
            <w:proofErr w:type="spellStart"/>
            <w:r>
              <w:t>Based</w:t>
            </w:r>
            <w:proofErr w:type="spellEnd"/>
            <w:r>
              <w:t xml:space="preserve"> Rendering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Gehört zu X-</w:t>
            </w:r>
            <w:proofErr w:type="spellStart"/>
            <w:r>
              <w:t>Types</w:t>
            </w:r>
            <w:proofErr w:type="spellEnd"/>
            <w:r>
              <w:t xml:space="preserve"> MIME Type</w:t>
            </w:r>
          </w:p>
        </w:tc>
      </w:tr>
      <w:tr w:rsidR="008E078F" w:rsidTr="00863AC5">
        <w:tc>
          <w:tcPr>
            <w:tcW w:w="1129" w:type="dxa"/>
          </w:tcPr>
          <w:p w:rsidR="008E078F" w:rsidRDefault="008E078F">
            <w:r>
              <w:t>Pixel</w:t>
            </w:r>
          </w:p>
        </w:tc>
        <w:tc>
          <w:tcPr>
            <w:tcW w:w="7933" w:type="dxa"/>
          </w:tcPr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Pixelelement, wird für 2D Flächen benutzt</w:t>
            </w:r>
          </w:p>
        </w:tc>
      </w:tr>
      <w:tr w:rsidR="008E078F" w:rsidTr="00863AC5">
        <w:tc>
          <w:tcPr>
            <w:tcW w:w="1129" w:type="dxa"/>
          </w:tcPr>
          <w:p w:rsidR="008E078F" w:rsidRDefault="008E078F">
            <w:r>
              <w:t>Vector</w:t>
            </w:r>
          </w:p>
        </w:tc>
        <w:tc>
          <w:tcPr>
            <w:tcW w:w="7933" w:type="dxa"/>
          </w:tcPr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Dient zur Darstellung von Vektorgrafiken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Sind frei und verlustfrei skalierbar</w:t>
            </w:r>
          </w:p>
        </w:tc>
      </w:tr>
      <w:tr w:rsidR="008E078F" w:rsidTr="00863AC5">
        <w:tc>
          <w:tcPr>
            <w:tcW w:w="1129" w:type="dxa"/>
          </w:tcPr>
          <w:p w:rsidR="008E078F" w:rsidRDefault="008E078F">
            <w:r>
              <w:t>Vertex</w:t>
            </w:r>
          </w:p>
        </w:tc>
        <w:tc>
          <w:tcPr>
            <w:tcW w:w="7933" w:type="dxa"/>
          </w:tcPr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Entspricht einem </w:t>
            </w:r>
            <w:proofErr w:type="spellStart"/>
            <w:r>
              <w:t>Voxel</w:t>
            </w:r>
            <w:proofErr w:type="spellEnd"/>
          </w:p>
        </w:tc>
      </w:tr>
      <w:tr w:rsidR="008E078F" w:rsidTr="00863AC5">
        <w:tc>
          <w:tcPr>
            <w:tcW w:w="1129" w:type="dxa"/>
          </w:tcPr>
          <w:p w:rsidR="008E078F" w:rsidRDefault="008E078F">
            <w:proofErr w:type="spellStart"/>
            <w:r>
              <w:t>Voxel</w:t>
            </w:r>
            <w:proofErr w:type="spellEnd"/>
          </w:p>
        </w:tc>
        <w:tc>
          <w:tcPr>
            <w:tcW w:w="7933" w:type="dxa"/>
          </w:tcPr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Volumenelement, Darstellung von 3D Objekten</w:t>
            </w:r>
          </w:p>
        </w:tc>
      </w:tr>
      <w:tr w:rsidR="008E078F" w:rsidTr="00863AC5">
        <w:tc>
          <w:tcPr>
            <w:tcW w:w="1129" w:type="dxa"/>
          </w:tcPr>
          <w:p w:rsidR="008E078F" w:rsidRDefault="008E078F">
            <w:proofErr w:type="spellStart"/>
            <w:r>
              <w:t>Fractal</w:t>
            </w:r>
            <w:proofErr w:type="spellEnd"/>
          </w:p>
        </w:tc>
        <w:tc>
          <w:tcPr>
            <w:tcW w:w="7933" w:type="dxa"/>
          </w:tcPr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Natürliche oder künstliche Muster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>Sich selbstähnlich</w:t>
            </w:r>
          </w:p>
          <w:p w:rsidR="00045846" w:rsidRDefault="00045846" w:rsidP="008E078F">
            <w:pPr>
              <w:pStyle w:val="Listenabsatz"/>
              <w:numPr>
                <w:ilvl w:val="0"/>
                <w:numId w:val="8"/>
              </w:numPr>
            </w:pPr>
            <w:r>
              <w:t>Bruchstück</w:t>
            </w:r>
          </w:p>
          <w:p w:rsidR="008E078F" w:rsidRDefault="008E078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Kann zum </w:t>
            </w:r>
            <w:proofErr w:type="spellStart"/>
            <w:r>
              <w:t>Upscaling</w:t>
            </w:r>
            <w:proofErr w:type="spellEnd"/>
            <w:r>
              <w:t xml:space="preserve"> </w:t>
            </w:r>
            <w:r w:rsidR="00045846">
              <w:t>oder Erstellen von künstlichen Objekten z.B. Wolken verwendet werden</w:t>
            </w:r>
          </w:p>
        </w:tc>
      </w:tr>
      <w:tr w:rsidR="008E078F" w:rsidTr="00863AC5">
        <w:tc>
          <w:tcPr>
            <w:tcW w:w="1129" w:type="dxa"/>
          </w:tcPr>
          <w:p w:rsidR="008E078F" w:rsidRDefault="00045846">
            <w:r>
              <w:t>Wavelet</w:t>
            </w:r>
          </w:p>
        </w:tc>
        <w:tc>
          <w:tcPr>
            <w:tcW w:w="7933" w:type="dxa"/>
          </w:tcPr>
          <w:p w:rsidR="008E078F" w:rsidRDefault="00045846" w:rsidP="008E078F">
            <w:pPr>
              <w:pStyle w:val="Listenabsatz"/>
              <w:numPr>
                <w:ilvl w:val="0"/>
                <w:numId w:val="8"/>
              </w:numPr>
            </w:pPr>
            <w:r>
              <w:t>Durchschnitt aus zwei Werten (5 u. 7 -&gt; Wavelet = 6)</w:t>
            </w:r>
          </w:p>
          <w:p w:rsidR="00045846" w:rsidRDefault="00045846" w:rsidP="00045846">
            <w:pPr>
              <w:pStyle w:val="Listenabsatz"/>
              <w:numPr>
                <w:ilvl w:val="0"/>
                <w:numId w:val="8"/>
              </w:numPr>
            </w:pPr>
            <w:r>
              <w:t xml:space="preserve">Für </w:t>
            </w:r>
            <w:proofErr w:type="spellStart"/>
            <w:r>
              <w:t>Bildkompirmierung</w:t>
            </w:r>
            <w:proofErr w:type="spellEnd"/>
            <w:r>
              <w:t xml:space="preserve"> verwendet</w:t>
            </w:r>
          </w:p>
          <w:p w:rsidR="00045846" w:rsidRDefault="00045846" w:rsidP="00045846">
            <w:pPr>
              <w:pStyle w:val="Listenabsatz"/>
              <w:numPr>
                <w:ilvl w:val="0"/>
                <w:numId w:val="8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=Wavelet von a und b</m:t>
              </m:r>
            </m:oMath>
          </w:p>
        </w:tc>
      </w:tr>
      <w:tr w:rsidR="008E078F" w:rsidTr="00863AC5">
        <w:tc>
          <w:tcPr>
            <w:tcW w:w="1129" w:type="dxa"/>
          </w:tcPr>
          <w:p w:rsidR="008E078F" w:rsidRDefault="00045846">
            <w:r>
              <w:lastRenderedPageBreak/>
              <w:t>HSL</w:t>
            </w:r>
          </w:p>
        </w:tc>
        <w:tc>
          <w:tcPr>
            <w:tcW w:w="7933" w:type="dxa"/>
          </w:tcPr>
          <w:p w:rsidR="008E078F" w:rsidRDefault="00045846" w:rsidP="008E078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Hue</w:t>
            </w:r>
            <w:proofErr w:type="spellEnd"/>
            <w:r>
              <w:t xml:space="preserve"> Saturation </w:t>
            </w:r>
            <w:proofErr w:type="spellStart"/>
            <w:r>
              <w:t>Lightness</w:t>
            </w:r>
            <w:proofErr w:type="spellEnd"/>
          </w:p>
          <w:p w:rsidR="00045846" w:rsidRDefault="00045846" w:rsidP="008E078F">
            <w:pPr>
              <w:pStyle w:val="Listenabsatz"/>
              <w:numPr>
                <w:ilvl w:val="0"/>
                <w:numId w:val="8"/>
              </w:numPr>
            </w:pPr>
            <w:r>
              <w:t>Kreisförmig aufgebauter Farbraum</w:t>
            </w:r>
          </w:p>
          <w:p w:rsidR="00045846" w:rsidRDefault="00045846" w:rsidP="008E078F">
            <w:pPr>
              <w:pStyle w:val="Listenabsatz"/>
              <w:numPr>
                <w:ilvl w:val="0"/>
                <w:numId w:val="8"/>
              </w:numPr>
            </w:pPr>
            <w:r>
              <w:t>Bei 0 Grad = rot, 60 Grad = Gelb, 120 Grad = Grün, 180 Grad = Zyan, 240 Grad = Blau, 300 Grad = Magenta</w:t>
            </w:r>
          </w:p>
        </w:tc>
      </w:tr>
      <w:tr w:rsidR="008E078F" w:rsidTr="00863AC5">
        <w:tc>
          <w:tcPr>
            <w:tcW w:w="1129" w:type="dxa"/>
          </w:tcPr>
          <w:p w:rsidR="008E078F" w:rsidRDefault="00045846">
            <w:r>
              <w:t xml:space="preserve">Transfer </w:t>
            </w:r>
            <w:proofErr w:type="spellStart"/>
            <w:r>
              <w:t>Function</w:t>
            </w:r>
            <w:proofErr w:type="spellEnd"/>
          </w:p>
        </w:tc>
        <w:tc>
          <w:tcPr>
            <w:tcW w:w="7933" w:type="dxa"/>
          </w:tcPr>
          <w:p w:rsidR="008E078F" w:rsidRDefault="00045846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Abhängigkeit des Ausgangssignales eines linearen Zeitinvarianten Systems (LZI System) von dessen Eingangssignal </w:t>
            </w:r>
          </w:p>
          <w:p w:rsidR="00045846" w:rsidRPr="00045846" w:rsidRDefault="00045846" w:rsidP="00045846">
            <w:pPr>
              <w:pStyle w:val="Listenabsatz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t xml:space="preserve">1D Transfer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 w:cs="Calibri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=</m:t>
              </m:r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</w:rPr>
                <m:t>=</m:t>
              </m:r>
              <m:r>
                <w:rPr>
                  <w:rFonts w:ascii="Cambria Math" w:hAnsi="Cambria Math" w:cs="Calibr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= </m:t>
              </m:r>
              <m:r>
                <w:rPr>
                  <w:rFonts w:ascii="Cambria Math" w:hAnsi="Cambria Math" w:cs="Calibri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µ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</w:rPr>
                <m:t>n</m:t>
              </m:r>
            </m:oMath>
          </w:p>
          <w:p w:rsidR="00045846" w:rsidRPr="00045846" w:rsidRDefault="00045846" w:rsidP="00045846">
            <w:pPr>
              <w:pStyle w:val="Listenabsatz"/>
              <w:numPr>
                <w:ilvl w:val="0"/>
                <w:numId w:val="8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</w:t>
            </w:r>
            <w:proofErr w:type="spellStart"/>
            <w:r>
              <w:rPr>
                <w:rFonts w:eastAsiaTheme="minorEastAsia"/>
              </w:rPr>
              <w:t>Abzysse</w:t>
            </w:r>
            <w:proofErr w:type="spellEnd"/>
            <w:r>
              <w:rPr>
                <w:rFonts w:eastAsiaTheme="minorEastAsia"/>
              </w:rPr>
              <w:t>, y = Ordinate</w:t>
            </w:r>
          </w:p>
        </w:tc>
      </w:tr>
      <w:tr w:rsidR="008E078F" w:rsidTr="00863AC5">
        <w:tc>
          <w:tcPr>
            <w:tcW w:w="1129" w:type="dxa"/>
          </w:tcPr>
          <w:p w:rsidR="008E078F" w:rsidRDefault="00045846">
            <w:r>
              <w:t>Affine Transformation</w:t>
            </w:r>
          </w:p>
        </w:tc>
        <w:tc>
          <w:tcPr>
            <w:tcW w:w="7933" w:type="dxa"/>
          </w:tcPr>
          <w:p w:rsidR="000F6D3F" w:rsidRDefault="000F6D3F" w:rsidP="000F6D3F">
            <w:pPr>
              <w:pStyle w:val="Listenabsatz"/>
              <w:numPr>
                <w:ilvl w:val="0"/>
                <w:numId w:val="8"/>
              </w:numPr>
            </w:pPr>
            <w:r>
              <w:t>Affine = Selbstähnlich -&gt; Abstandsverhältnisse bleiben erhalten</w:t>
            </w:r>
          </w:p>
          <w:p w:rsidR="000F6D3F" w:rsidRPr="000F6D3F" w:rsidRDefault="000F6D3F" w:rsidP="000F6D3F">
            <w:pPr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0F6D3F">
              <w:rPr>
                <w:rFonts w:ascii="Calibri" w:eastAsia="Times New Roman" w:hAnsi="Calibri" w:cs="Calibri"/>
                <w:lang w:eastAsia="de-DE"/>
              </w:rPr>
              <w:t>Output = f(</w:t>
            </w:r>
            <w:proofErr w:type="spellStart"/>
            <w:r w:rsidRPr="000F6D3F">
              <w:rPr>
                <w:rFonts w:ascii="Calibri" w:eastAsia="Times New Roman" w:hAnsi="Calibri" w:cs="Calibri"/>
                <w:lang w:eastAsia="de-DE"/>
              </w:rPr>
              <w:t>input</w:t>
            </w:r>
            <w:proofErr w:type="spellEnd"/>
            <w:r w:rsidRPr="000F6D3F">
              <w:rPr>
                <w:rFonts w:ascii="Calibri" w:eastAsia="Times New Roman" w:hAnsi="Calibri" w:cs="Calibri"/>
                <w:lang w:eastAsia="de-DE"/>
              </w:rPr>
              <w:t>)</w:t>
            </w:r>
          </w:p>
          <w:p w:rsidR="000F6D3F" w:rsidRPr="000F6D3F" w:rsidRDefault="000F6D3F" w:rsidP="000F6D3F">
            <w:pPr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" w:eastAsia="de-DE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de-DE"/>
                    </w:rPr>
                    <m:t>' </m:t>
                  </m:r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de-DE"/>
                    </w:rPr>
                    <m:t>'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de-DE"/>
                    </w:rPr>
                    <m:t>,</m:t>
                  </m:r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y</m:t>
                  </m:r>
                </m:e>
              </m:d>
            </m:oMath>
          </w:p>
          <w:p w:rsidR="000F6D3F" w:rsidRPr="000F6D3F" w:rsidRDefault="000F6D3F" w:rsidP="000F6D3F">
            <w:pPr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" w:eastAsia="de-DE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eastAsia="de-DE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eastAsia="de-DE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de-DE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  <w:lang w:val="" w:eastAsia="de-DE"/>
                          </w:rPr>
                          <m:t>y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  <w:lang w:val="" w:eastAsia="de-DE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lang w:val="" w:eastAsia="de-DE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0F6D3F" w:rsidRPr="000F6D3F" w:rsidRDefault="000F6D3F" w:rsidP="000F6D3F">
            <w:pPr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val="" w:eastAsia="de-DE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de-DE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cy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e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   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e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a</m:t>
              </m:r>
            </m:oMath>
            <w:r w:rsidRPr="000F6D3F">
              <w:rPr>
                <w:rFonts w:ascii="Cambria Math" w:eastAsia="Times New Roman" w:hAnsi="Cambria Math" w:cs="Calibri"/>
                <w:lang w:val="" w:eastAsia="de-DE"/>
              </w:rPr>
              <w:br/>
            </w:r>
            <m:oMath>
              <m:sSup>
                <m:sSup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lang w:val="" w:eastAsia="de-DE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bx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dy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+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f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   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f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 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lang w:val=""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val="" w:eastAsia="de-DE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de-DE"/>
                </w:rPr>
                <m:t>=</m:t>
              </m:r>
              <m:r>
                <w:rPr>
                  <w:rFonts w:ascii="Cambria Math" w:eastAsia="Times New Roman" w:hAnsi="Cambria Math" w:cs="Calibri"/>
                  <w:lang w:val="" w:eastAsia="de-DE"/>
                </w:rPr>
                <m:t>d</m:t>
              </m:r>
            </m:oMath>
            <w:r w:rsidRPr="000F6D3F">
              <w:rPr>
                <w:rFonts w:ascii="Calibri" w:eastAsia="Times New Roman" w:hAnsi="Calibri" w:cs="Calibri"/>
                <w:lang w:val="" w:eastAsia="de-DE"/>
              </w:rPr>
              <w:t> </w:t>
            </w:r>
          </w:p>
        </w:tc>
      </w:tr>
      <w:tr w:rsidR="008E078F" w:rsidTr="00863AC5">
        <w:tc>
          <w:tcPr>
            <w:tcW w:w="1129" w:type="dxa"/>
          </w:tcPr>
          <w:p w:rsidR="008E078F" w:rsidRDefault="000F6D3F">
            <w:r>
              <w:t>Computer Animation</w:t>
            </w:r>
          </w:p>
        </w:tc>
        <w:tc>
          <w:tcPr>
            <w:tcW w:w="7933" w:type="dxa"/>
          </w:tcPr>
          <w:p w:rsidR="008E078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Animal = Lebendig, Automation = automatisch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Künstlichen Geschöpfen Bewegungen etc. beibringen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Bewegung u. Interaktion von multimedialen Inhalten, Objekten und Beteiligten </w:t>
            </w:r>
          </w:p>
        </w:tc>
      </w:tr>
      <w:tr w:rsidR="008E078F" w:rsidTr="00863AC5">
        <w:tc>
          <w:tcPr>
            <w:tcW w:w="1129" w:type="dxa"/>
          </w:tcPr>
          <w:p w:rsidR="008E078F" w:rsidRDefault="000F6D3F">
            <w:r>
              <w:t>SMIL</w:t>
            </w:r>
          </w:p>
        </w:tc>
        <w:tc>
          <w:tcPr>
            <w:tcW w:w="7933" w:type="dxa"/>
          </w:tcPr>
          <w:p w:rsidR="008E078F" w:rsidRDefault="000F6D3F" w:rsidP="008E078F">
            <w:pPr>
              <w:pStyle w:val="Listenabsatz"/>
              <w:numPr>
                <w:ilvl w:val="0"/>
                <w:numId w:val="8"/>
              </w:numPr>
            </w:pPr>
            <w:proofErr w:type="spellStart"/>
            <w:r>
              <w:t>Synchronized</w:t>
            </w:r>
            <w:proofErr w:type="spellEnd"/>
            <w:r>
              <w:t xml:space="preserve"> Multimedia Integration Language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Grundlage für Animation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ein auf </w:t>
            </w:r>
            <w:hyperlink r:id="rId6" w:tooltip="Extensible Markup Language" w:history="1">
              <w:r>
                <w:rPr>
                  <w:rStyle w:val="Hyperlink"/>
                </w:rPr>
                <w:t>XML</w:t>
              </w:r>
            </w:hyperlink>
            <w:r>
              <w:t xml:space="preserve"> basierender, von dem </w:t>
            </w:r>
            <w:hyperlink r:id="rId7" w:tooltip="World Wide Web Consortium" w:history="1">
              <w:r>
                <w:rPr>
                  <w:rStyle w:val="Hyperlink"/>
                </w:rPr>
                <w:t xml:space="preserve">World Wide Web </w:t>
              </w:r>
              <w:proofErr w:type="spellStart"/>
              <w:r>
                <w:rPr>
                  <w:rStyle w:val="Hyperlink"/>
                </w:rPr>
                <w:t>Consortium</w:t>
              </w:r>
              <w:proofErr w:type="spellEnd"/>
            </w:hyperlink>
            <w:r>
              <w:t xml:space="preserve"> (W3C) entwickelter Standard für eine </w:t>
            </w:r>
            <w:hyperlink r:id="rId8" w:tooltip="Auszeichnungssprache" w:history="1">
              <w:r>
                <w:rPr>
                  <w:rStyle w:val="Hyperlink"/>
                </w:rPr>
                <w:t>Auszeichnungssprache</w:t>
              </w:r>
            </w:hyperlink>
            <w:r>
              <w:t xml:space="preserve"> für zeitsynchronisierte, multimediale Inhalte</w:t>
            </w:r>
          </w:p>
        </w:tc>
      </w:tr>
      <w:tr w:rsidR="008E078F" w:rsidTr="00863AC5">
        <w:tc>
          <w:tcPr>
            <w:tcW w:w="1129" w:type="dxa"/>
          </w:tcPr>
          <w:p w:rsidR="008E078F" w:rsidRDefault="000F6D3F">
            <w:proofErr w:type="spellStart"/>
            <w:r>
              <w:t>Context</w:t>
            </w:r>
            <w:proofErr w:type="spellEnd"/>
            <w:r>
              <w:t xml:space="preserve"> Awareness</w:t>
            </w:r>
          </w:p>
        </w:tc>
        <w:tc>
          <w:tcPr>
            <w:tcW w:w="7933" w:type="dxa"/>
          </w:tcPr>
          <w:p w:rsidR="008E078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Kontextsensitivität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bezeichnet das Verhalten von </w:t>
            </w:r>
            <w:hyperlink r:id="rId9" w:tooltip="Anwendungsprogramm" w:history="1">
              <w:r>
                <w:rPr>
                  <w:rStyle w:val="Hyperlink"/>
                </w:rPr>
                <w:t>Anwendungsprogrammen</w:t>
              </w:r>
            </w:hyperlink>
            <w:r>
              <w:t>, die Informationen über ihren „Kontext“, also ihre Umgebung, benutzen, um ihr Verhalten darauf abzustimmen.</w:t>
            </w:r>
          </w:p>
        </w:tc>
      </w:tr>
      <w:tr w:rsidR="008E078F" w:rsidTr="00863AC5">
        <w:tc>
          <w:tcPr>
            <w:tcW w:w="1129" w:type="dxa"/>
          </w:tcPr>
          <w:p w:rsidR="008E078F" w:rsidRDefault="000F6D3F">
            <w:proofErr w:type="spellStart"/>
            <w:r>
              <w:t>Predictive</w:t>
            </w:r>
            <w:proofErr w:type="spellEnd"/>
            <w:r>
              <w:t xml:space="preserve"> Modelling</w:t>
            </w:r>
          </w:p>
        </w:tc>
        <w:tc>
          <w:tcPr>
            <w:tcW w:w="7933" w:type="dxa"/>
          </w:tcPr>
          <w:p w:rsidR="008E078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prädiktive Modellierung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ist ein Prozess, der </w:t>
            </w:r>
            <w:hyperlink r:id="rId10" w:tooltip="Data Mining" w:history="1">
              <w:r>
                <w:rPr>
                  <w:rStyle w:val="Hyperlink"/>
                </w:rPr>
                <w:t>Data Mining</w:t>
              </w:r>
            </w:hyperlink>
            <w:r>
              <w:t> und Wahrscheinlichkeitsrechnung zur Vorhersage von Ergebnissen verwendet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Anwendung z.B. Wettervorhersage und Online Werbung</w:t>
            </w:r>
          </w:p>
        </w:tc>
      </w:tr>
      <w:tr w:rsidR="000F6D3F" w:rsidTr="00863AC5">
        <w:tc>
          <w:tcPr>
            <w:tcW w:w="1129" w:type="dxa"/>
          </w:tcPr>
          <w:p w:rsidR="000F6D3F" w:rsidRDefault="000F6D3F">
            <w:proofErr w:type="spellStart"/>
            <w:r>
              <w:t>Machine</w:t>
            </w:r>
            <w:proofErr w:type="spellEnd"/>
            <w:r>
              <w:t xml:space="preserve"> / Computer Vision</w:t>
            </w:r>
          </w:p>
        </w:tc>
        <w:tc>
          <w:tcPr>
            <w:tcW w:w="7933" w:type="dxa"/>
          </w:tcPr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>Maschinelles Sehen -&gt; Bildverstehen</w:t>
            </w:r>
          </w:p>
          <w:p w:rsidR="000F6D3F" w:rsidRDefault="000F6D3F" w:rsidP="008E078F">
            <w:pPr>
              <w:pStyle w:val="Listenabsatz"/>
              <w:numPr>
                <w:ilvl w:val="0"/>
                <w:numId w:val="8"/>
              </w:numPr>
            </w:pPr>
            <w:r>
              <w:t xml:space="preserve">beschreibt im Allgemeinen die </w:t>
            </w:r>
            <w:hyperlink r:id="rId11" w:tooltip="Computer" w:history="1">
              <w:r>
                <w:rPr>
                  <w:rStyle w:val="Hyperlink"/>
                </w:rPr>
                <w:t>computergestützte</w:t>
              </w:r>
            </w:hyperlink>
            <w:r>
              <w:t xml:space="preserve"> Lösung von Aufgabenstellungen, die sich an den Fähigkeiten des menschlichen visuellen Systems orientieren.</w:t>
            </w:r>
          </w:p>
          <w:p w:rsidR="006B7818" w:rsidRDefault="006B7818" w:rsidP="008E078F">
            <w:pPr>
              <w:pStyle w:val="Listenabsatz"/>
              <w:numPr>
                <w:ilvl w:val="0"/>
                <w:numId w:val="8"/>
              </w:numPr>
            </w:pPr>
            <w:r>
              <w:t>Anwendung z.B. Face-</w:t>
            </w:r>
            <w:proofErr w:type="spellStart"/>
            <w:r>
              <w:t>ID,Objekterkennung</w:t>
            </w:r>
            <w:proofErr w:type="spellEnd"/>
            <w:r>
              <w:t>, Lageerkennung</w:t>
            </w:r>
            <w:bookmarkStart w:id="0" w:name="_GoBack"/>
            <w:bookmarkEnd w:id="0"/>
          </w:p>
        </w:tc>
      </w:tr>
    </w:tbl>
    <w:p w:rsidR="008662A9" w:rsidRDefault="006B7818"/>
    <w:sectPr w:rsidR="00866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07EF"/>
    <w:multiLevelType w:val="hybridMultilevel"/>
    <w:tmpl w:val="043A8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2080"/>
    <w:multiLevelType w:val="multilevel"/>
    <w:tmpl w:val="10DE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55F36"/>
    <w:multiLevelType w:val="hybridMultilevel"/>
    <w:tmpl w:val="C87A9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C22E8"/>
    <w:multiLevelType w:val="hybridMultilevel"/>
    <w:tmpl w:val="962E0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42C09"/>
    <w:multiLevelType w:val="hybridMultilevel"/>
    <w:tmpl w:val="40E4E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E4D08"/>
    <w:multiLevelType w:val="hybridMultilevel"/>
    <w:tmpl w:val="CD4A4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61580"/>
    <w:multiLevelType w:val="hybridMultilevel"/>
    <w:tmpl w:val="F5F2D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721C62"/>
    <w:multiLevelType w:val="hybridMultilevel"/>
    <w:tmpl w:val="0B922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E2F6F"/>
    <w:multiLevelType w:val="hybridMultilevel"/>
    <w:tmpl w:val="E8688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C5"/>
    <w:rsid w:val="00045846"/>
    <w:rsid w:val="000F6D3F"/>
    <w:rsid w:val="0026589F"/>
    <w:rsid w:val="006B7818"/>
    <w:rsid w:val="00773E3C"/>
    <w:rsid w:val="00863AC5"/>
    <w:rsid w:val="008E078F"/>
    <w:rsid w:val="00CD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5EC5"/>
  <w15:chartTrackingRefBased/>
  <w15:docId w15:val="{DFB3310C-5518-46D5-98DC-8061DD75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863AC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63AC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458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Auszeichnungssprach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World_Wide_Web_Consorti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xtensible_Markup_Language" TargetMode="External"/><Relationship Id="rId11" Type="http://schemas.openxmlformats.org/officeDocument/2006/relationships/hyperlink" Target="https://de.wikipedia.org/wiki/Computer" TargetMode="External"/><Relationship Id="rId5" Type="http://schemas.openxmlformats.org/officeDocument/2006/relationships/hyperlink" Target="https://de.wikipedia.org/wiki/Zeichenkodierung" TargetMode="External"/><Relationship Id="rId10" Type="http://schemas.openxmlformats.org/officeDocument/2006/relationships/hyperlink" Target="https://www.computerweekly.com/de/definition/Data-M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Anwendungsprogram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2020-03-11T09:11:00Z</dcterms:created>
  <dcterms:modified xsi:type="dcterms:W3CDTF">2020-03-11T10:04:00Z</dcterms:modified>
</cp:coreProperties>
</file>