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spacing w:after="120" w:before="480" w:line="276" w:lineRule="auto"/>
        <w:ind w:left="0" w:firstLine="0"/>
        <w:rPr>
          <w:rFonts w:ascii="Alexandria SemiBold" w:cs="Alexandria SemiBold" w:eastAsia="Alexandria SemiBold" w:hAnsi="Alexandria SemiBold"/>
          <w:b w:val="0"/>
          <w:bCs w:val="0"/>
          <w:color w:val="999999"/>
          <w:sz w:val="40"/>
          <w:szCs w:val="40"/>
        </w:rPr>
      </w:pPr>
      <w:bookmarkStart w:colFirst="0" w:colLast="0" w:name="_4q1ckxu9hxqa" w:id="0"/>
      <w:bookmarkEnd w:id="0"/>
      <w:r w:rsidDel="00000000" w:rsidR="00000000" w:rsidRPr="00000000">
        <w:rPr>
          <w:rFonts w:ascii="Alexandria SemiBold" w:cs="Alexandria SemiBold" w:eastAsia="Alexandria SemiBold" w:hAnsi="Alexandria SemiBold"/>
          <w:b w:val="0"/>
          <w:bCs w:val="0"/>
          <w:color w:val="999999"/>
          <w:sz w:val="40"/>
          <w:szCs w:val="40"/>
          <w:rtl w:val="0"/>
        </w:rPr>
        <w:t xml:space="preserve">T2.4 — Comparer performances, facilité et maintenance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3.8686131386862"/>
        <w:gridCol w:w="2303.3993743482797"/>
        <w:gridCol w:w="3123.2533889468195"/>
        <w:gridCol w:w="2259.478623566215"/>
        <w:tblGridChange w:id="0">
          <w:tblGrid>
            <w:gridCol w:w="1673.8686131386862"/>
            <w:gridCol w:w="2303.3993743482797"/>
            <w:gridCol w:w="3123.2533889468195"/>
            <w:gridCol w:w="2259.47862356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Requests + 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crawl4ai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 (rapide)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 (très rapide en async)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(lent)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 (faible)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(moyen)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(gros consommateur)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⚠️ (partiel)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✔️✔️✔️ (complet)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Interactions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Idéal pour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pages statiques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scraping massif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pages dynamiques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widowControl w:val="1"/>
        <w:spacing w:after="120" w:before="480" w:line="276" w:lineRule="auto"/>
        <w:ind w:left="720" w:firstLine="0"/>
        <w:rPr>
          <w:rFonts w:ascii="Alexandria SemiBold" w:cs="Alexandria SemiBold" w:eastAsia="Alexandria SemiBold" w:hAnsi="Alexandria SemiBold"/>
          <w:color w:val="434343"/>
          <w:sz w:val="30"/>
          <w:szCs w:val="30"/>
        </w:rPr>
      </w:pPr>
      <w:bookmarkStart w:colFirst="0" w:colLast="0" w:name="_ugva5r3dmqja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Alexandria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AlexandriaSemiBold-regular.ttf"/><Relationship Id="rId4" Type="http://schemas.openxmlformats.org/officeDocument/2006/relationships/font" Target="fonts/Alexandri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