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60"/>
        <w:jc w:val="center"/>
      </w:pPr>
      <w:r>
        <w:rPr>
          <w:b/>
          <w:color w:val="B7791F"/>
          <w:sz w:val="20"/>
        </w:rPr>
        <w:t>INTELIGENCIA COMPETITIVA</w:t>
      </w:r>
    </w:p>
    <w:p>
      <w:pPr>
        <w:pStyle w:val="Title"/>
        <w:jc w:val="center"/>
      </w:pPr>
      <w:r>
        <w:t>SmartNFC Chile 2026</w:t>
      </w:r>
    </w:p>
    <w:p>
      <w:pPr>
        <w:pStyle w:val="Subtitle"/>
        <w:jc w:val="center"/>
      </w:pPr>
      <w:r>
        <w:t>Validación crítica del estudio de pricing, benchmark funcional y propuesta para liderar el mercado</w:t>
      </w:r>
    </w:p>
    <w:p>
      <w:pPr>
        <w:spacing w:before="1000"/>
        <w:jc w:val="center"/>
      </w:pPr>
      <w:r>
        <w:rPr>
          <w:b/>
        </w:rPr>
        <w:t>Preparado para Ariel Jara</w:t>
        <w:br/>
      </w:r>
      <w:r>
        <w:t>Análisis independiente basado en el producto actual y fuentes públicas vigentes al 24-08-2026</w:t>
      </w:r>
    </w:p>
    <w:p>
      <w:r>
        <w:br w:type="page"/>
      </w:r>
    </w:p>
    <w:p>
      <w:pPr>
        <w:pStyle w:val="Heading1"/>
      </w:pPr>
      <w:r>
        <w:t>Conclusión ejecutiva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8EEF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0B2545"/>
              </w:rPr>
              <w:t xml:space="preserve">VEREDICTO  </w:t>
            </w:r>
            <w:r>
              <w:t>La tesis central de Claude es correcta: SmartNFC debe venderse como plataforma de conversión de contactos, no como una tarjeta NFC. El pricing equilibrado es defendible como hipótesis de lanzamiento, pero no está todavía “validado”: faltan entrevistas, pruebas de precio, costos reales, CAC, activación y churn.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t>SmartNFC ya posee más producto del que el estudio reconoce: perfiles editables, NFC/QR, captura consentida, CRM básico, analítica por evento, equipos y roles, operación física de tarjetas, diseño para impresión y un módulo Local. La brecha no es “crear un CRM desde cero”, sino convertir componentes aislados en un flujo completo y medible desde el encuentro hasta la venta o la recompra.</w:t>
      </w:r>
    </w:p>
    <w:p>
      <w:pPr>
        <w:pStyle w:val="ListBullet"/>
        <w:spacing w:after="80"/>
      </w:pPr>
      <w:r>
        <w:t>Prioridad competitiva: API pública + webhooks + conectores CRM antes de ampliar el CRM interno.</w:t>
      </w:r>
    </w:p>
    <w:p>
      <w:pPr>
        <w:pStyle w:val="ListBullet"/>
        <w:spacing w:after="80"/>
      </w:pPr>
      <w:r>
        <w:t>Prioridad de retención: automatización de seguimiento, tareas, recordatorios, pipeline y atribución por campaña/evento.</w:t>
      </w:r>
    </w:p>
    <w:p>
      <w:pPr>
        <w:pStyle w:val="ListBullet"/>
        <w:spacing w:after="80"/>
      </w:pPr>
      <w:r>
        <w:t>Prioridad enterprise: SSO/SCIM, aprovisionamiento masivo, auditoría, SLA, seguridad y gobierno de datos.</w:t>
      </w:r>
    </w:p>
    <w:p>
      <w:pPr>
        <w:pStyle w:val="ListBullet"/>
        <w:spacing w:after="80"/>
      </w:pPr>
      <w:r>
        <w:t>Prioridad Local: fidelización real (visitas/puntos/canjes), Wallet y reputación Google; hoy Local es captación y exportación para difusión, no un sustituto completo de Lazoo.</w:t>
      </w:r>
    </w:p>
    <w:p>
      <w:pPr>
        <w:pStyle w:val="ListBullet"/>
        <w:spacing w:after="80"/>
      </w:pPr>
      <w:r>
        <w:t>Prioridad comercial: mantener precios simples, pero cobrar por valor y volumen; no bloquear la captura básica en Free si el benchmark ya la regala.</w:t>
      </w:r>
    </w:p>
    <w:p>
      <w:pPr>
        <w:pStyle w:val="Heading1"/>
      </w:pPr>
      <w:r>
        <w:t>1. Auditoría del estudio de pricing de Claude</w:t>
      </w:r>
    </w:p>
    <w:p>
      <w:pPr>
        <w:pStyle w:val="Heading2"/>
      </w:pPr>
      <w:r>
        <w:t>1.1 Qué valida este análisis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2545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Tesis de Claude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2545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Evaluación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2545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Razón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Posicionarse como plataforma, no hardware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VALIDADA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El hardware está comoditizado; los líderes monetizan gestión, captura, integración y automatización.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US$4–7 por usuario/mes en equipos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VALIDADA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Blinq US$4,99 anual; HiHello US$5; Wave US$5; Uniqode US$6.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Tarjeta moderada + SaaS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VALIDADA CON MATIZ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Funciona, pero Dot/V1CE muestran que también conviven compra única y software premium. Debe existir una experiencia útil tras cancelar.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Empresa base $39.990/5 usuarios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RAZONABLE, NO VALIDADA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Equivale a $7.998 por asiento, sobre el benchmark global; se defiende con hardware, soporte local y CRM, pero requiere test.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Local $19.990–$69.990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RAZONABLE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Está bajo Lazoo y cerca de ChileQR, pero las prestaciones propuestas exceden lo hoy implementado.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Free sin captura ni analítica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DESAFIADA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Wave incluye captura y analítica avanzada gratis; Uniqode entrega hasta 5 leads. Conviene limitar volumen/exportación/integración, no eliminar el aha moment.</w:t>
            </w:r>
          </w:p>
        </w:tc>
      </w:tr>
    </w:tbl>
    <w:p>
      <w:pPr>
        <w:spacing w:after="20"/>
      </w:pPr>
    </w:p>
    <w:p>
      <w:pPr>
        <w:pStyle w:val="Heading2"/>
      </w:pPr>
      <w:r>
        <w:t>1.2 Correcciones y debilidades</w:t>
      </w:r>
    </w:p>
    <w:p>
      <w:pPr>
        <w:pStyle w:val="ListBullet"/>
        <w:spacing w:after="80"/>
      </w:pPr>
      <w:r>
        <w:t>Blinq: el estudio presenta un add-on CRM de US$199/mes. La oferta pública actual cobra Business por asiento y la captura avanzada por créditos/uso; no hay sustento actual para usar US$199 como ancla fija.</w:t>
      </w:r>
    </w:p>
    <w:p>
      <w:pPr>
        <w:pStyle w:val="ListBullet"/>
        <w:spacing w:after="80"/>
      </w:pPr>
      <w:r>
        <w:t>ChileQR: la tabla “$4.900–$79.900/mes” mezcla productos y periodos. Puntos QR publica hoy $24.900/$42.900/$72.900 mensuales con IVA; otros módulos se venden mensual, semestral o anual.</w:t>
      </w:r>
    </w:p>
    <w:p>
      <w:pPr>
        <w:pStyle w:val="ListBullet"/>
        <w:spacing w:after="80"/>
      </w:pPr>
      <w:r>
        <w:t>Popl: el precio público no quedó tan verificable como Blinq/Wave/HiHello/Uniqode. Conviene tratarlo como oferta a cotización/uso, no como un número central del modelo.</w:t>
      </w:r>
    </w:p>
    <w:p>
      <w:pPr>
        <w:pStyle w:val="ListBullet"/>
        <w:spacing w:after="80"/>
      </w:pPr>
      <w:r>
        <w:t>Disposición a pagar: comparar con Netflix, Canva, Bsale o Defontana sirve como ancla narrativa, pero no prueba willingness-to-pay por SmartNFC.</w:t>
      </w:r>
    </w:p>
    <w:p>
      <w:pPr>
        <w:pStyle w:val="ListBullet"/>
        <w:spacing w:after="80"/>
      </w:pPr>
      <w:r>
        <w:t>LTV: usar LTV=ARPU/churn sin margen bruto y con churn hipotético es ilustrativo, no una economía unitaria. Para decidir CAC debe usarse margen de contribución, cohortes y payback.</w:t>
      </w:r>
    </w:p>
    <w:p>
      <w:pPr>
        <w:pStyle w:val="ListBullet"/>
        <w:spacing w:after="80"/>
      </w:pPr>
      <w:r>
        <w:t>Proyección: multiplicar mezcla y ARPU constante no incorpora descuentos anuales, IVA, hardware incluido, costos de implementación, mora, soporte ni expansión/contracción de asientos.</w:t>
      </w:r>
    </w:p>
    <w:p>
      <w:pPr>
        <w:pStyle w:val="ListBullet"/>
        <w:spacing w:after="80"/>
      </w:pPr>
      <w:r>
        <w:t>Competencia: el estudio enumera actores, pero no compara de forma uniforme seguridad, aprovisionamiento, integraciones, captura, automatización, atribución y administración.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0B2545"/>
              </w:rPr>
              <w:t xml:space="preserve">DECISIÓN DE PRICING  </w:t>
            </w:r>
            <w:r>
              <w:t>Lanzar el catálogo equilibrado como experimento controlado, no como verdad final. Publicar mensual y anual; instrumentar conversión, activación a 7 días, leads por perfil, retención a 30/90 días y objeciones de precio. Revisar a los 30 clientes pagantes o 90 días, lo que ocurra primero.</w:t>
            </w:r>
          </w:p>
        </w:tc>
      </w:tr>
    </w:tbl>
    <w:p>
      <w:pPr>
        <w:spacing w:after="40"/>
      </w:pPr>
    </w:p>
    <w:p>
      <w:pPr>
        <w:pStyle w:val="Heading1"/>
      </w:pPr>
      <w:r>
        <w:t>2. Mapa competitivo chileno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2545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Competidor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2545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Precio público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2545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Fortalezas verificadas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2545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Brecha/oportunidad para SmartNFC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LINKD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PVC $29.990–$49.990; Enterprise a cotizar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NFC+QR, perfil editable, dashboard taps/leads, roles, API/webhooks, CRM Hapee, onboarding.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Rival directo más peligroso. SmartNFC debe igualar API/webhooks y probar mejor atribución/CRM, apoyándose en Local y operación física integrada.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NFCID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$19.990 (1–5), $16.990 (6–20), $13.990 (21–50)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PVC full color, perfil editable, volumen, pago único.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Gana por simplicidad/precio. No competir a la baja; demostrar pipeline y ROI.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Tarjetas Digitales Chile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Cotización; soporte/mantención 1 año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NFC+QR, perfil, acciones, panel de equipos, diseño coordinado.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SmartNFC puede diferenciarse con recurrencia transparente, analítica y captura gobernada.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VCard.cl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No público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NFC+QR, miniweb, venta/pagos, panel empresa, estadísticas, alta/edición/desactivación.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Agregar pagos/servicios no es prioridad general, pero sí opción vertical para independientes.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Lazoo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$24.990 / $52.990 / $99.990 / desde $149.990 + IVA mes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Wallet, sellos/visitas, campañas push, geolocalización, segmentación, gift cards, automatización, multi-sucursal.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SmartNFC Local hoy no iguala fidelización ni Wallet. Debe elegir: construir ese núcleo o no prometer paridad.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ChileQR – Puntos QR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$24.900 / $42.900 / $72.900 mes IVA incl.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Puntos, recompensas, campañas, panel, estadísticas, web app, 200/600/ilimitados.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Competidor de entrada Local. SmartNFC suma NFC físico y consentimiento; faltan puntos/canjes.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ChileQR – QR Pro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$12.900 / $24.900 / $34.900 mes IVA incl.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QR dinámicos masivos, analítica, dominios, proyectos, seguridad.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No rival directo, pero eleva expectativas sobre dominios, analítica y gestión masiva.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Pluu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Referencia del estudio: $49.990/5 usuarios; verificar en cotización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CRM pyme, pipeline, cotizaciones, WhatsApp e IA según oferta reportada.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Sustituto del CRM. SmartNFC debe integrar antes de intentar reemplazar un CRM comercial completo.</w:t>
            </w:r>
          </w:p>
        </w:tc>
      </w:tr>
    </w:tbl>
    <w:p>
      <w:pPr>
        <w:spacing w:after="20"/>
      </w:pPr>
    </w:p>
    <w:p>
      <w:pPr>
        <w:pStyle w:val="Heading1"/>
      </w:pPr>
      <w:r>
        <w:t>3. Benchmark internacional de capacidades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2545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Plataforma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2545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Precio actual verificable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2545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Capacidades distintivas</w:t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2545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Lección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Blinq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Free; Premium US$9,99 mensual; Business US$6,99 mensual o US$4,99 anual/usuario, mínimo 5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Wallet, scanner universal, IA/notas, enriquecimiento, campañas/atribución, 20+ CRM, API, provisión, SSO enterprise.</w:t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El valor ya migró desde “tarjeta digital” a inteligencia de contacto.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Wave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Free; Pro US$7; Teams US$5/usuario/mes, mínimo 3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Free con leads/analítica; Teams con administración, plantillas bloqueadas, CRM; Enterprise SSO/SCIM/SOC 2; captura eventos offline.</w:t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No esconder el aha moment; monetizar marca, equipos, integración y eventos.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HiHello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Free; Professional US$6; Business US$5/usuario/mes (5–100)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Wallet, NFC propio, sharing offline, scans, CRM, directorio; SOC 2/GDPR.</w:t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Seguridad y aprovisionamiento son parte del producto enterprise.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Uniqode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Free; Team US$6/usuario/mes anual; Business+ custom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Dos vías, Wallet, leads, analítica, multidioma, smart-fill, bulk, Google Workspace; CRM y Entra en Business+.</w:t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La analítica y los controles de marca se convierten en infraestructura organizacional.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Dot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Equipo a cotización; hardware desde US$15 y custom US$50–75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Scanner IA, mapa de leads, recordatorios, auto-intro, CRM, white label, insights.</w:t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Seguimiento inmediato y contexto geográfico son diferenciadores.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V1CE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Tarjeta desde £75 una vez; Client Capture OS £49/mes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CRM de networking, follow-ups, IA, booking, acuerdos, pagos, campañas, dominio, Wallet.</w:t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Demuestra un techo premium si se cierra el ciclo encuentro→venta.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Popl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Cotización/uso en oferta actual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Captura formularios/badges/QR, offline, CRM, plantillas, subequipos, SSO, HR, analítica de equipo.</w:t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Eventos y atribución pueden venderse como módulo separado por volumen.</w:t>
            </w:r>
          </w:p>
        </w:tc>
      </w:tr>
    </w:tbl>
    <w:p>
      <w:pPr>
        <w:spacing w:after="20"/>
      </w:pPr>
    </w:p>
    <w:p>
      <w:pPr>
        <w:pStyle w:val="Heading1"/>
      </w:pPr>
      <w:r>
        <w:t>4. Radiografía del SmartNFC actual</w:t>
      </w:r>
    </w:p>
    <w:p>
      <w:pPr>
        <w:spacing w:after="120" w:line="264" w:lineRule="auto"/>
      </w:pPr>
      <w:r>
        <w:t>La revisión se hizo sobre el repositorio operativo disponible, no solo sobre el sitio comercial. Esto evita declarar como “faltante” algo ya construido.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2545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Área</w:t>
            </w:r>
          </w:p>
        </w:tc>
        <w:tc>
          <w:tcPr>
            <w:tcW w:type="dxa" w:w="60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2545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Estado observado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2545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Madurez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Identidad digital</w:t>
            </w:r>
          </w:p>
        </w:tc>
        <w:tc>
          <w:tcPr>
            <w:tcW w:type="dxa" w:w="60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Perfil editable, foto/logo/cover, temas, bio, video, redes, botones, enlaces, vCard.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Sólida base individual; faltan dominios, multidioma, Wallet, firma y fondos virtuales.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NFC/QR y físico</w:t>
            </w:r>
          </w:p>
        </w:tc>
        <w:tc>
          <w:tcPr>
            <w:tcW w:type="dxa" w:w="60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Tokens/UID, estados de producción, QR dinámico, editor CR80, exportación PNG/SVG/PDF y pedidos.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Diferenciador operacional real; revisar calidad de impresión y dependencia de QR externo.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Captura y consentimiento</w:t>
            </w:r>
          </w:p>
        </w:tc>
        <w:tc>
          <w:tcPr>
            <w:tcW w:type="dxa" w:w="60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Formulario configurable, consentimiento, deduplicación por empresa, fuente NFC/QR/directa, historial de interacciones.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Buena base y superior a hardware puro; faltan preferencias, DSAR, retención y centro de privacidad.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CRM</w:t>
            </w:r>
          </w:p>
        </w:tc>
        <w:tc>
          <w:tcPr>
            <w:tcW w:type="dxa" w:w="60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Leads, estados, notas, exportación CSV e interacciones.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CRM básico existente; sin tareas, recordatorios, propietario, valor, etapas configurables, automatizaciones ni sync.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Analítica</w:t>
            </w:r>
          </w:p>
        </w:tc>
        <w:tc>
          <w:tcPr>
            <w:tcW w:type="dxa" w:w="60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Vistas, taps NFC, WhatsApp, teléfono, email, links, vCard y cruce con leads.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Base útil; faltan funnel, atribución por campaña/evento, ROI, cohortes, UTM, filtros y exportación/API.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Equipos</w:t>
            </w:r>
          </w:p>
        </w:tc>
        <w:tc>
          <w:tcPr>
            <w:tcW w:type="dxa" w:w="60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Empresas, owner/admin/collaborator, invitaciones, límites de identidad, panel multiusuario.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Base funcional; faltan grupos, plantillas bloqueadas, bulk import, directory sync, SSO/SCIM y delegación granular.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SmartNFC Local</w:t>
            </w:r>
          </w:p>
        </w:tc>
        <w:tc>
          <w:tcPr>
            <w:tcW w:type="dxa" w:w="60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Campañas, puntos NFC/QR, suscriptores, consentimiento, beneficio, métricas y lotes de exportación WhatsApp.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MVP de captación; no fidelización completa: sin puntos/sellos/canje, Wallet, automatización ni multi-sucursal consolidada.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Plataforma comercial</w:t>
            </w:r>
          </w:p>
        </w:tc>
        <w:tc>
          <w:tcPr>
            <w:tcW w:type="dxa" w:w="60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Planes/licencias modelados.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No se observan checkout, facturación recurrente, trial self-service, metering, dunning ni portal de suscripción.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Integraciones/API</w:t>
            </w:r>
          </w:p>
        </w:tc>
        <w:tc>
          <w:tcPr>
            <w:tcW w:type="dxa" w:w="60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Rutas internas y públicas específicas.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No hay API pública versionada, OAuth/API keys, webhooks, Zapier/Make ni conectores CRM evidentes.</w:t>
            </w:r>
          </w:p>
        </w:tc>
      </w:tr>
    </w:tbl>
    <w:p>
      <w:pPr>
        <w:spacing w:after="20"/>
      </w:pPr>
    </w:p>
    <w:p>
      <w:pPr>
        <w:pStyle w:val="Heading1"/>
      </w:pPr>
      <w:r>
        <w:t>5. ¿Qué falta para ser los mejores?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8EEF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0B2545"/>
              </w:rPr>
              <w:t xml:space="preserve">RESPUESTA CORTA  </w:t>
            </w:r>
            <w:r>
              <w:t>No falta “un CRM” genérico. Falta una capa de orquestación que conecte captura, consentimiento, enriquecimiento, seguimiento, CRM externo y atribución. La API es prioritaria; el CRM interno debe seguir liviano y excepcionalmente fácil.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6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2545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2545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Capacidad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2545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Por qué gana mercado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2545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Definición mínima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P0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API pública + webhooks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Neutraliza la ventaja de LINKD y evita competir contra HubSpot/Pluu.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API v1, API keys/OAuth, eventos lead.created/updated, tap, consent; idempotencia, logs, límites y sandbox.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P0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CRM accionable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Convierte datos en seguimiento, no solo almacenamiento.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Owner, pipeline configurable, tareas/fecha próxima acción, recordatorios, etiquetas, actividad y búsqueda.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P0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Automatización de follow-up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Es la brecha más visible frente a V1CE/Dot.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Email/WhatsApp asistido, plantillas, reglas por fuente/campaña, opt-out y trazabilidad; API oficial de WhatsApp.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P0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Funnel y atribución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Permite vender ROI y defender precio.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Share/tap → vista → lead → reunión → oportunidad → ganado; campañas, eventos, UTM y costo/resultado.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P1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Integraciones nativas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Reduce implementación y churn B2B.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HubSpot, Salesforce, Zoho/Pipedrive, Google/Outlook Contacts, Zapier/Make; import/export bidireccional.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P1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Wallet + sharing omnicanal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El benchmark lo considera estándar.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Apple/Google Wallet pass, firma de email, fondo virtual y QR branded.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P1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Gobierno de equipos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Abre medianas y grandes cuentas.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Plantillas, campos bloqueados, importación masiva, subequipos, roles granulares, reasignación al salir.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P1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Privacidad operacional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Chile eleva exigencia de datos personales.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Registro de base legal, preferencias, revocación, exportar/eliminar, retención, DPA y auditoría.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P2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Enterprise trust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Necesario para industria, banca y grandes organizaciones.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SSO SAML/OIDC, SCIM, SLA, estado, backups, auditoría, residencia/seguridad documentada y plan SOC 2/ISO.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P2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Captura avanzada en eventos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Producto premium separable.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Scanner de tarjetas/badges, modo offline, calificadores, notas/voz, enriquecimiento y dashboard por evento.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P2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Local Loyalty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Necesario para competir realmente con Lazoo/ChileQR.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Visitas/puntos, reglas, canjes, segmentos, Wallet, reseñas Google, automatizaciones y multi-sucursal.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P3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IA útil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Solo después del dato y workflow.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Resumen/notas, siguiente acción, borradores y enriquecimiento con consentimiento; no chatbot ornamental.</w:t>
            </w:r>
          </w:p>
        </w:tc>
      </w:tr>
    </w:tbl>
    <w:p>
      <w:pPr>
        <w:spacing w:after="20"/>
      </w:pPr>
    </w:p>
    <w:p>
      <w:pPr>
        <w:pStyle w:val="Heading1"/>
      </w:pPr>
      <w:r>
        <w:t>6. Estructura de producto recomendada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2545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Producto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2545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Cliente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2545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Promesa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2545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Módulos incluidos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SmartNFC Connect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Individual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Compartir y capturar sin fricción.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Perfil, NFC/QR/Wallet, vCard, formulario, analítica básica, contactos limitados.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SmartNFC Teams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Equipos 3–50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Marca consistente y seguimiento medible.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Admin, plantillas bloqueadas, CRM accionable, atribución, integraciones, firmas, bulk.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SmartNFC Revenue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Equipos comerciales/eventos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De conversación a oportunidad.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Scanner/eventos, automatización, enriquecimiento, CRM sync, ROI y API; add-on por volumen.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SmartNFC Enterprise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50+ / regulados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Identidad y datos gobernados a escala.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SSO/SCIM, SLA, auditoría, DPA, dominios, soporte/onboarding y API avanzada.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SmartNFC Local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Comercio recurrente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Convertir visitas en base propia y recompra.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NFC/QR, consentimiento, campañas, loyalty, Wallet, reseñas y multi-sucursal.</w:t>
            </w:r>
          </w:p>
        </w:tc>
      </w:tr>
    </w:tbl>
    <w:p>
      <w:pPr>
        <w:spacing w:after="20"/>
      </w:pPr>
    </w:p>
    <w:p>
      <w:pPr>
        <w:spacing w:after="120" w:line="264" w:lineRule="auto"/>
      </w:pPr>
      <w:r>
        <w:t>Arquitectura recomendada: un núcleo compartido de identidad, eventos, contactos, consentimiento, organizaciones y facturación; encima, módulos Connect/Teams/Revenue/Local. Evitar dos productos aislados con datos incompatibles. Un mismo contacto debe poder originarse en una tarjeta personal, un stand, un evento o una campaña Local y conservar fuente, consentimiento y atribución.</w:t>
      </w:r>
    </w:p>
    <w:p>
      <w:pPr>
        <w:pStyle w:val="Heading1"/>
      </w:pPr>
      <w:r>
        <w:t>7. Pricing propuesto</w:t>
      </w:r>
    </w:p>
    <w:p>
      <w:pPr>
        <w:spacing w:after="120" w:line="264" w:lineRule="auto"/>
      </w:pPr>
      <w:r>
        <w:t>La estructura de Claude puede mantenerse durante la validación, con tres ajustes: (1) alinear precio por asiento con benchmark al crecer; (2) incluir captura limitada en Free; (3) separar Revenue/Eventos como add-on de alto valor.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2545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Plan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2545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Precio sugerido de prueba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2545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Incluye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2545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Límite/expansión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Free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$0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1 perfil con marca, QR/Wallet, hasta 10 leads y 30 días de analítica.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Sin exportación ni integraciones; demuestra valor.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Connect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$4.990/mes o $49.990/año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Perfil sin marca, NFC/QR/Wallet, captura, exportación, analítica básica.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1 identidad; tarjeta aparte o incluida anual.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Connect Pro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$9.990/mes o $99.990/año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3 identidades, CRM personal, tareas, automatización ligera, dominio.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No administración de equipos.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Teams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$39.990/mes, 5 asientos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Admin, marca, CRM compartido, plantillas, firmas, integración estándar.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$6.990–$7.990 por asiento adicional; descuento desde 20.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Revenue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Desde $49.990/mes add-on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Eventos, scanner, qualifiers, automatización, CRM sync y ROI.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Cobro por equipo + volumen de leads, no solo asiento.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Enterprise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Cotización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SSO/SCIM, SLA, API, seguridad, onboarding.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Contrato anual y mínimo de implementación.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Local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$19.990 / $39.990 / $69.990 + IVA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Captura; luego loyalty/Wallet/automatización según nivel.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No vender Pro/Plus hasta que esas capacidades estén operativas.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0B2545"/>
              </w:rPr>
              <w:t xml:space="preserve">GUARDRAIL  </w:t>
            </w:r>
            <w:r>
              <w:t>No ofrecer “tarjeta incluida anual” sin conocer costo puesto en cliente, tasa de devoluciones, personalización y soporte. Convertirlo en crédito de hardware hasta medir margen por cohorte.</w:t>
            </w:r>
          </w:p>
        </w:tc>
      </w:tr>
    </w:tbl>
    <w:p>
      <w:pPr>
        <w:spacing w:after="40"/>
      </w:pPr>
    </w:p>
    <w:p>
      <w:pPr>
        <w:pStyle w:val="Heading1"/>
      </w:pPr>
      <w:r>
        <w:t>8. Roadmap para liderazgo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2545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Horizonte</w:t>
            </w:r>
          </w:p>
        </w:tc>
        <w:tc>
          <w:tcPr>
            <w:tcW w:type="dxa" w:w="60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2545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Entregables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2545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Métrica de salida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0–30 días</w:t>
            </w:r>
          </w:p>
        </w:tc>
        <w:tc>
          <w:tcPr>
            <w:tcW w:type="dxa" w:w="60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Instrumentación de funnel; catálogo de planes; definición API; CRM con owner/tarea/próxima acción; entrevistas y test de precio.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≥15 entrevistas; activación definida; 10 clientes pagantes; baseline leads/usuario.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31–90 días</w:t>
            </w:r>
          </w:p>
        </w:tc>
        <w:tc>
          <w:tcPr>
            <w:tcW w:type="dxa" w:w="60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Webhooks/API v1; HubSpot/Google Contacts/Zapier; automatización inicial; campañas/eventos; Wallet; onboarding guiado.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≥50% activa captura en 7 días; ≥30% conecta integración; retención 90 días medible.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3–6 meses</w:t>
            </w:r>
          </w:p>
        </w:tc>
        <w:tc>
          <w:tcPr>
            <w:tcW w:type="dxa" w:w="60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Plantillas bloqueadas, bulk, atribución/ROI, scanner, offline, Local loyalty MVP, reseñas Google.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2 casos de éxito con ROI; expansión de asientos; churn mensual bajo objetivo.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6–12 meses</w:t>
            </w:r>
          </w:p>
        </w:tc>
        <w:tc>
          <w:tcPr>
            <w:tcW w:type="dxa" w:w="60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SSO/SCIM, auditoría avanzada, SLA, seguridad formal, multi-sucursal, automatizaciones maduras y canal partners.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Primeras cuentas 50+; implementación repetible; margen bruto y payback saludables.</w:t>
            </w:r>
          </w:p>
        </w:tc>
      </w:tr>
    </w:tbl>
    <w:p>
      <w:pPr>
        <w:spacing w:after="20"/>
      </w:pPr>
    </w:p>
    <w:p>
      <w:pPr>
        <w:pStyle w:val="Heading1"/>
      </w:pPr>
      <w:r>
        <w:t>9. Indicadores que deben gobernar la decisión</w:t>
      </w:r>
    </w:p>
    <w:p>
      <w:pPr>
        <w:pStyle w:val="ListBullet"/>
        <w:spacing w:after="80"/>
      </w:pPr>
      <w:r>
        <w:t>Activación: perfil publicado + primer share/tap + primer lead capturado dentro de 7 días.</w:t>
      </w:r>
    </w:p>
    <w:p>
      <w:pPr>
        <w:pStyle w:val="ListBullet"/>
        <w:spacing w:after="80"/>
      </w:pPr>
      <w:r>
        <w:t>Time-to-value: horas/días hasta primer lead y hasta primera acción de seguimiento.</w:t>
      </w:r>
    </w:p>
    <w:p>
      <w:pPr>
        <w:pStyle w:val="ListBullet"/>
        <w:spacing w:after="80"/>
      </w:pPr>
      <w:r>
        <w:t>Funnel: taps→vistas→formularios→leads→tareas→reuniones→oportunidades→ganadas.</w:t>
      </w:r>
    </w:p>
    <w:p>
      <w:pPr>
        <w:pStyle w:val="ListBullet"/>
        <w:spacing w:after="80"/>
      </w:pPr>
      <w:r>
        <w:t>Retención por cohorte y segmento a 30/90/180 días; churn de logos y de MRR.</w:t>
      </w:r>
    </w:p>
    <w:p>
      <w:pPr>
        <w:pStyle w:val="ListBullet"/>
        <w:spacing w:after="80"/>
      </w:pPr>
      <w:r>
        <w:t>Integración: porcentaje de cuentas Teams con CRM/webhook activo y éxito de sincronización.</w:t>
      </w:r>
    </w:p>
    <w:p>
      <w:pPr>
        <w:pStyle w:val="ListBullet"/>
        <w:spacing w:after="80"/>
      </w:pPr>
      <w:r>
        <w:t>Economía: margen de contribución, CAC por canal, payback, expansión de asientos y soporte por cuenta.</w:t>
      </w:r>
    </w:p>
    <w:p>
      <w:pPr>
        <w:pStyle w:val="ListBullet"/>
        <w:spacing w:after="80"/>
      </w:pPr>
      <w:r>
        <w:t>Local: suscripciones, consentimientos vigentes, visitas/canjes, campañas y recompra atribuida.</w:t>
      </w:r>
    </w:p>
    <w:p>
      <w:pPr>
        <w:pStyle w:val="Heading1"/>
      </w:pPr>
      <w:r>
        <w:t>10. Riesgos estratégicos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2545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Riesgo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2545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Impacto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2545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Mitigación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Construir un CRM completo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Dispersa foco y queda detrás de plataformas maduras.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CRM liviano nativo + integración profunda; ganar en captura física y atribución.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Prometer Local completo antes de tiempo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Churn y pérdida de confianza frente a Lazoo.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Vender MVP como captación; habilitar loyalty por fases y pilotos.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Free demasiado mutilado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El usuario nunca vive el momento de valor.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Cuota de leads/analítica; cobrar por escala, marca, exportación e integración.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Pricing sin evidencia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Optimiza una hoja, no el mercado.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Tests, entrevistas, cohortes y revisión periódica; no descuentos permanentes.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Datos personales sin operación madura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Riesgo contractual y reputacional.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Privacy by design, DPA, derechos, retención, auditoría y consentimientos versionados.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Dependencia de hardware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Margen/logística distraen al SaaS.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Estandarizar SKUs, QA, proveedores y crédito de hardware; medir costo puesto.</w:t>
            </w:r>
          </w:p>
        </w:tc>
      </w:tr>
    </w:tbl>
    <w:p>
      <w:pPr>
        <w:spacing w:after="20"/>
      </w:pPr>
    </w:p>
    <w:p>
      <w:pPr>
        <w:pStyle w:val="Heading1"/>
      </w:pPr>
      <w:r>
        <w:t>11. Fuentes verificadas y criterio de evidencia</w:t>
      </w:r>
    </w:p>
    <w:p>
      <w:pPr>
        <w:spacing w:after="120" w:line="264" w:lineRule="auto"/>
      </w:pPr>
      <w:r>
        <w:t>Fuentes públicas consultadas el 24 de agosto de 2026. Se priorizaron páginas oficiales. Los precios pueden cambiar y las cotizaciones enterprise no son comparables sin alcance contractual.</w:t>
      </w:r>
    </w:p>
    <w:p>
      <w:pPr>
        <w:pStyle w:val="ListBullet"/>
      </w:pPr>
      <w:hyperlink r:id="rId11">
        <w:r>
          <w:rPr>
            <w:color w:val="2563EB"/>
            <w:u w:val="single"/>
          </w:rPr>
          <w:t>LINKD – producto, precios y Enterprise</w:t>
        </w:r>
      </w:hyperlink>
    </w:p>
    <w:p>
      <w:pPr>
        <w:pStyle w:val="ListBullet"/>
      </w:pPr>
      <w:hyperlink r:id="rId12">
        <w:r>
          <w:rPr>
            <w:color w:val="2563EB"/>
            <w:u w:val="single"/>
          </w:rPr>
          <w:t>LINKD Empresas</w:t>
        </w:r>
      </w:hyperlink>
    </w:p>
    <w:p>
      <w:pPr>
        <w:pStyle w:val="ListBullet"/>
      </w:pPr>
      <w:hyperlink r:id="rId13">
        <w:r>
          <w:rPr>
            <w:color w:val="2563EB"/>
            <w:u w:val="single"/>
          </w:rPr>
          <w:t>NFCID – precios por volumen</w:t>
        </w:r>
      </w:hyperlink>
    </w:p>
    <w:p>
      <w:pPr>
        <w:pStyle w:val="ListBullet"/>
      </w:pPr>
      <w:hyperlink r:id="rId14">
        <w:r>
          <w:rPr>
            <w:color w:val="2563EB"/>
            <w:u w:val="single"/>
          </w:rPr>
          <w:t>Tarjetas Digitales Chile</w:t>
        </w:r>
      </w:hyperlink>
    </w:p>
    <w:p>
      <w:pPr>
        <w:pStyle w:val="ListBullet"/>
      </w:pPr>
      <w:hyperlink r:id="rId15">
        <w:r>
          <w:rPr>
            <w:color w:val="2563EB"/>
            <w:u w:val="single"/>
          </w:rPr>
          <w:t>VCard.cl</w:t>
        </w:r>
      </w:hyperlink>
    </w:p>
    <w:p>
      <w:pPr>
        <w:pStyle w:val="ListBullet"/>
      </w:pPr>
      <w:hyperlink r:id="rId16">
        <w:r>
          <w:rPr>
            <w:color w:val="2563EB"/>
            <w:u w:val="single"/>
          </w:rPr>
          <w:t>Lazoo – precios y funciones</w:t>
        </w:r>
      </w:hyperlink>
    </w:p>
    <w:p>
      <w:pPr>
        <w:pStyle w:val="ListBullet"/>
      </w:pPr>
      <w:hyperlink r:id="rId17">
        <w:r>
          <w:rPr>
            <w:color w:val="2563EB"/>
            <w:u w:val="single"/>
          </w:rPr>
          <w:t>ChileQR – Puntos QR</w:t>
        </w:r>
      </w:hyperlink>
    </w:p>
    <w:p>
      <w:pPr>
        <w:pStyle w:val="ListBullet"/>
      </w:pPr>
      <w:hyperlink r:id="rId18">
        <w:r>
          <w:rPr>
            <w:color w:val="2563EB"/>
            <w:u w:val="single"/>
          </w:rPr>
          <w:t>ChileQR – QR Pro</w:t>
        </w:r>
      </w:hyperlink>
    </w:p>
    <w:p>
      <w:pPr>
        <w:pStyle w:val="ListBullet"/>
      </w:pPr>
      <w:hyperlink r:id="rId19">
        <w:r>
          <w:rPr>
            <w:color w:val="2563EB"/>
            <w:u w:val="single"/>
          </w:rPr>
          <w:t>Blinq – pricing</w:t>
        </w:r>
      </w:hyperlink>
    </w:p>
    <w:p>
      <w:pPr>
        <w:pStyle w:val="ListBullet"/>
      </w:pPr>
      <w:hyperlink r:id="rId20">
        <w:r>
          <w:rPr>
            <w:color w:val="2563EB"/>
            <w:u w:val="single"/>
          </w:rPr>
          <w:t>Blinq – captura por uso</w:t>
        </w:r>
      </w:hyperlink>
    </w:p>
    <w:p>
      <w:pPr>
        <w:pStyle w:val="ListBullet"/>
      </w:pPr>
      <w:hyperlink r:id="rId21">
        <w:r>
          <w:rPr>
            <w:color w:val="2563EB"/>
            <w:u w:val="single"/>
          </w:rPr>
          <w:t>Wave – pricing</w:t>
        </w:r>
      </w:hyperlink>
    </w:p>
    <w:p>
      <w:pPr>
        <w:pStyle w:val="ListBullet"/>
      </w:pPr>
      <w:hyperlink r:id="rId22">
        <w:r>
          <w:rPr>
            <w:color w:val="2563EB"/>
            <w:u w:val="single"/>
          </w:rPr>
          <w:t>HiHello – pricing</w:t>
        </w:r>
      </w:hyperlink>
    </w:p>
    <w:p>
      <w:pPr>
        <w:pStyle w:val="ListBullet"/>
      </w:pPr>
      <w:hyperlink r:id="rId23">
        <w:r>
          <w:rPr>
            <w:color w:val="2563EB"/>
            <w:u w:val="single"/>
          </w:rPr>
          <w:t>Uniqode – pricing</w:t>
        </w:r>
      </w:hyperlink>
    </w:p>
    <w:p>
      <w:pPr>
        <w:pStyle w:val="ListBullet"/>
      </w:pPr>
      <w:hyperlink r:id="rId24">
        <w:r>
          <w:rPr>
            <w:color w:val="2563EB"/>
            <w:u w:val="single"/>
          </w:rPr>
          <w:t>Dot – Teams</w:t>
        </w:r>
      </w:hyperlink>
    </w:p>
    <w:p>
      <w:pPr>
        <w:pStyle w:val="ListBullet"/>
      </w:pPr>
      <w:hyperlink r:id="rId25">
        <w:r>
          <w:rPr>
            <w:color w:val="2563EB"/>
            <w:u w:val="single"/>
          </w:rPr>
          <w:t>V1CE – pricing</w:t>
        </w:r>
      </w:hyperlink>
    </w:p>
    <w:p>
      <w:pPr>
        <w:pStyle w:val="ListBullet"/>
      </w:pPr>
      <w:hyperlink r:id="rId26">
        <w:r>
          <w:rPr>
            <w:color w:val="2563EB"/>
            <w:u w:val="single"/>
          </w:rPr>
          <w:t>Popl – captura</w:t>
        </w:r>
      </w:hyperlink>
    </w:p>
    <w:p>
      <w:pPr>
        <w:pStyle w:val="Heading1"/>
      </w:pPr>
      <w:r>
        <w:t>12. Recomendación final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8EEF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0B2545"/>
              </w:rPr>
              <w:t xml:space="preserve">NORTH STAR  </w:t>
            </w:r>
            <w:r>
              <w:t>SmartNFC debe aspirar a ser la plataforma latinoamericana que convierte interacciones físicas en relaciones comerciales medibles y consentidas. Su ventaja no será tener más botones en una tarjeta, sino conectar mejor el mundo físico, el seguimiento y los sistemas del cliente.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t>Si solo se pueden financiar tres apuestas durante los próximos 90 días, deben ser: (1) API/webhooks e integraciones; (2) CRM accionable con automatización y atribución; (3) Wallet + gobierno de equipos. Para Local, mantener la oferta honesta como captación consentida hasta completar loyalty. Con esas piezas, SmartNFC puede superar a los competidores chilenos en producto y servicio local, y competir con referentes internacionales en el segmento pyme/mediana empresa sin intentar replicar todo HubSpot.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Informe estratégico · 24 agosto 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B6472"/>
        <w:sz w:val="16"/>
      </w:rPr>
      <w:t>SMARTNFC  |  Inteligencia competitiva y estrategia de producto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2024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B2545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Arial" w:hAnsi="Arial"/>
      <w:b w:val="0"/>
      <w:i/>
      <w:iCs/>
      <w:color w:val="5B6472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720" w:hanging="360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720" w:hanging="360"/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linkd.cl/" TargetMode="External"/><Relationship Id="rId12" Type="http://schemas.openxmlformats.org/officeDocument/2006/relationships/hyperlink" Target="https://linkd.cl/empresas/" TargetMode="External"/><Relationship Id="rId13" Type="http://schemas.openxmlformats.org/officeDocument/2006/relationships/hyperlink" Target="https://nfcid.cl/" TargetMode="External"/><Relationship Id="rId14" Type="http://schemas.openxmlformats.org/officeDocument/2006/relationships/hyperlink" Target="https://tarjetasdigitaleschile.cl/tarjetas-de-presentacion-con-nfc" TargetMode="External"/><Relationship Id="rId15" Type="http://schemas.openxmlformats.org/officeDocument/2006/relationships/hyperlink" Target="https://vcard.cl/" TargetMode="External"/><Relationship Id="rId16" Type="http://schemas.openxmlformats.org/officeDocument/2006/relationships/hyperlink" Target="https://lazoo.cl/" TargetMode="External"/><Relationship Id="rId17" Type="http://schemas.openxmlformats.org/officeDocument/2006/relationships/hyperlink" Target="https://chileqr.cl/puntos-qr/" TargetMode="External"/><Relationship Id="rId18" Type="http://schemas.openxmlformats.org/officeDocument/2006/relationships/hyperlink" Target="https://chileqr.cl/qr-pro/" TargetMode="External"/><Relationship Id="rId19" Type="http://schemas.openxmlformats.org/officeDocument/2006/relationships/hyperlink" Target="https://blinq.me/pricing" TargetMode="External"/><Relationship Id="rId20" Type="http://schemas.openxmlformats.org/officeDocument/2006/relationships/hyperlink" Target="https://support.blinq.me/en/articles/76257-lead-capture-pricing" TargetMode="External"/><Relationship Id="rId21" Type="http://schemas.openxmlformats.org/officeDocument/2006/relationships/hyperlink" Target="https://wavecnct.com/pricing" TargetMode="External"/><Relationship Id="rId22" Type="http://schemas.openxmlformats.org/officeDocument/2006/relationships/hyperlink" Target="https://www.hihello.com/pricing" TargetMode="External"/><Relationship Id="rId23" Type="http://schemas.openxmlformats.org/officeDocument/2006/relationships/hyperlink" Target="https://www.uniqode.com/pricing" TargetMode="External"/><Relationship Id="rId24" Type="http://schemas.openxmlformats.org/officeDocument/2006/relationships/hyperlink" Target="https://dotcards.net/pages/teams" TargetMode="External"/><Relationship Id="rId25" Type="http://schemas.openxmlformats.org/officeDocument/2006/relationships/hyperlink" Target="https://v1ce.co/pricing" TargetMode="External"/><Relationship Id="rId26" Type="http://schemas.openxmlformats.org/officeDocument/2006/relationships/hyperlink" Target="https://support.popl.co/en/articles/8597920-the-lead-capture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Inteligencia competitiva y estrategia de producto SmartNFC Chile 2026</dc:title>
  <dc:subject>Auditoría de pricing, benchmark y roadmap</dc:subject>
  <dc:creator>SmartNFC</dc:creator>
  <cp:keywords>SmartNFC, NFC, pricing, CRM, API, competencia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