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pStyle w:val="Title"/>
        <w:jc w:val="left"/>
      </w:pPr>
      <w:r>
        <w:t>Manual de usuario</w:t>
        <w:br/>
        <w:t>Smart NFC Local</w:t>
      </w:r>
    </w:p>
    <w:p>
      <w:r>
        <w:rPr>
          <w:color w:val="475569"/>
          <w:sz w:val="28"/>
        </w:rPr>
        <w:t>Cómo crear, publicar y operar campañas de fidelización para comercios físicos</w:t>
      </w:r>
    </w:p>
    <w:p>
      <w:pPr>
        <w:spacing w:after="7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EE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 xml:space="preserve">Versión: </w:t>
            </w:r>
            <w:r>
              <w:t>Agosto de 2026 · Dirigido a propietarios y administradores de empresas con licencia Smart NFC Local activa.</w:t>
            </w:r>
          </w:p>
        </w:tc>
      </w:tr>
    </w:tbl>
    <w:p>
      <w:pPr>
        <w:spacing w:after="0"/>
      </w:pPr>
    </w:p>
    <w:p>
      <w:r>
        <w:t>Este manual explica el recorrido operativo desde el panel Local hasta la publicación de una campaña, el uso de enlaces NFC/QR y la gestión de suscriptores.</w:t>
      </w:r>
    </w:p>
    <w:p>
      <w:r>
        <w:br w:type="page"/>
      </w:r>
    </w:p>
    <w:p>
      <w:pPr>
        <w:pStyle w:val="Heading1"/>
      </w:pPr>
      <w:r>
        <w:t>1. Antes de comenzar</w:t>
      </w:r>
    </w:p>
    <w:p>
      <w:r>
        <w:t>Para utilizar Smart NFC Local necesitas una cuenta activa con rol de propietario o administrador y una licencia Local vigente para tu empresa.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727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Qué debes verificar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Acceso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Puedes iniciar sesión en la plataforma con tu correo y contraseña.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Permisos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Tu perfil es Propietario, Administrador de empresa o Superadministrador con acceso a la empresa.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Licencia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Smart NFC Local aparece en el menú lateral y no muestra un aviso de producto no disponible.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Contenido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Tienes definido el beneficio, el WhatsApp del local y un texto de consentimiento.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EF3C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 xml:space="preserve">Si no ves Smart NFC Local: </w:t>
            </w:r>
            <w:r>
              <w:t>la licencia puede no estar activa, todavía no haber comenzado o estar vencida. Contacta al administrador de la plataforma antes de intentar crear una campaña.</w:t>
            </w:r>
          </w:p>
        </w:tc>
      </w:tr>
    </w:tbl>
    <w:p>
      <w:pPr>
        <w:spacing w:after="0"/>
      </w:pPr>
    </w:p>
    <w:p>
      <w:pPr>
        <w:pStyle w:val="Heading1"/>
      </w:pPr>
      <w:r>
        <w:t>2. Conocer el panel Local</w:t>
      </w:r>
    </w:p>
    <w:p>
      <w:r>
        <w:t>En el menú lateral, selecciona Smart NFC Local. El panel reúne la actividad de todas las campañas de tu empresa.</w:t>
      </w:r>
    </w:p>
    <w:p>
      <w:pPr>
        <w:pStyle w:val="ListBullet"/>
        <w:spacing w:after="60"/>
        <w:ind w:left="461" w:hanging="230"/>
      </w:pPr>
      <w:r>
        <w:t>Visitas web: aperturas de la página pública de la campaña.</w:t>
      </w:r>
    </w:p>
    <w:p>
      <w:pPr>
        <w:pStyle w:val="ListBullet"/>
        <w:spacing w:after="60"/>
        <w:ind w:left="461" w:hanging="230"/>
      </w:pPr>
      <w:r>
        <w:t>Escaneos NFC y QR: accesos originados desde puntos de contacto físicos.</w:t>
      </w:r>
    </w:p>
    <w:p>
      <w:pPr>
        <w:pStyle w:val="ListBullet"/>
        <w:spacing w:after="60"/>
        <w:ind w:left="461" w:hanging="230"/>
      </w:pPr>
      <w:r>
        <w:t>Inscritos activos: personas actualmente suscritas.</w:t>
      </w:r>
    </w:p>
    <w:p>
      <w:pPr>
        <w:pStyle w:val="ListBullet"/>
        <w:spacing w:after="60"/>
        <w:ind w:left="461" w:hanging="230"/>
      </w:pPr>
      <w:r>
        <w:t>Tasa de conversión: inscritos en relación con las visitas.</w:t>
      </w:r>
    </w:p>
    <w:p>
      <w:pPr>
        <w:pStyle w:val="ListBullet"/>
        <w:spacing w:after="60"/>
        <w:ind w:left="461" w:hanging="230"/>
      </w:pPr>
      <w:r>
        <w:t>Rendimiento por punto de contacto: actividad atribuida a cada enlace NFC/QR.</w:t>
      </w:r>
    </w:p>
    <w:p>
      <w:r>
        <w:t>Desde la cabecera puedes abrir Ver suscriptores o Crear campaña. La tarjeta Tus campañas permite entrar rápidamente al editor de una campaña existente.</w:t>
      </w:r>
    </w:p>
    <w:p>
      <w:r>
        <w:br w:type="page"/>
      </w:r>
    </w:p>
    <w:p>
      <w:pPr>
        <w:pStyle w:val="Heading1"/>
      </w:pPr>
      <w:r>
        <w:t>3. Crear una campaña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691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89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Abrir el formulario</w:t>
              <w:br/>
            </w:r>
            <w:r>
              <w:t>En Smart NFC Local, selecciona Crear campaña. También puedes entrar a Ver todas las campañas y usar Registrar nueva campaña.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691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89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Ingresar el nombre interno</w:t>
              <w:br/>
            </w:r>
            <w:r>
              <w:t>Usa un nombre que ayude a tu equipo a reconocer el objetivo, por ejemplo: Campaña Invierno 2026.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691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89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Definir la dirección web</w:t>
              <w:br/>
            </w:r>
            <w:r>
              <w:t>Escribe un identificador de 3 a 30 caracteres, solo con minúsculas, números y guiones. La página quedará en /club/tu-identificador.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691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89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Completar la identidad</w:t>
              <w:br/>
            </w:r>
            <w:r>
              <w:t>Indica el nombre comercial del negocio y el nombre visible del club de fidelización.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691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type="dxa" w:w="89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Crear y continuar</w:t>
              <w:br/>
            </w:r>
            <w:r>
              <w:t>Selecciona Crear campaña y continuar. La plataforma crea un borrador y abre el editor.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EE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 xml:space="preserve">Ejemplo: </w:t>
            </w:r>
            <w:r>
              <w:t>Nombre interno: Beneficio Bienvenida · Dirección web: cafe-altura · Negocio: Café Altura · Club: Club Altura.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EF3C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 xml:space="preserve">Importante: </w:t>
            </w:r>
            <w:r>
              <w:t>si la dirección web ya existe, elige otra. Evita tildes, espacios y caracteres especiales.</w:t>
            </w:r>
          </w:p>
        </w:tc>
      </w:tr>
    </w:tbl>
    <w:p>
      <w:pPr>
        <w:spacing w:after="0"/>
      </w:pPr>
    </w:p>
    <w:p>
      <w:pPr>
        <w:pStyle w:val="Heading1"/>
      </w:pPr>
      <w:r>
        <w:t>4. Completar el editor</w:t>
      </w:r>
    </w:p>
    <w:p>
      <w:r>
        <w:t>El editor organiza la campaña en secciones. Puedes guardar un borrador en cualquier momento; publicar exige que los campos obligatorios estén completos.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Sección</w:t>
            </w:r>
          </w:p>
        </w:tc>
        <w:tc>
          <w:tcPr>
            <w:tcW w:type="dxa" w:w="741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Contenido recomendado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Identidad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Logo, nombre comercial, nombre del club, dirección, titular, subtítulo y colores.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Beneficio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Etiqueta, título, descripción, condiciones y, cuando corresponda, vigencia.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WhatsApp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Número chileno del local y mensaje preparado para activar el beneficio.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Consentimiento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Texto claro que autoriza la suscripción y recepción de novedades/promociones.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Puntos NFC/QR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Enlaces asociados a accesos físicos y su estado.</w:t>
            </w:r>
          </w:p>
        </w:tc>
      </w:tr>
    </w:tbl>
    <w:p>
      <w:r>
        <w:br w:type="page"/>
      </w:r>
    </w:p>
    <w:p>
      <w:pPr>
        <w:pStyle w:val="Heading1"/>
      </w:pPr>
      <w:r>
        <w:t>5. Guardar y publicar</w:t>
      </w:r>
    </w:p>
    <w:p>
      <w:pPr>
        <w:pStyle w:val="Heading2"/>
      </w:pPr>
      <w:r>
        <w:t>Guardar borrador</w:t>
      </w:r>
    </w:p>
    <w:p>
      <w:r>
        <w:t>Selecciona Guardar borrador para conservar los cambios sin hacerlos públicos. Úsalo mientras preparas textos, diseño o condiciones.</w:t>
      </w:r>
    </w:p>
    <w:p>
      <w:pPr>
        <w:pStyle w:val="Heading2"/>
      </w:pPr>
      <w:r>
        <w:t>Publicar cambios</w:t>
      </w:r>
    </w:p>
    <w:p>
      <w:r>
        <w:t>Selecciona Publicar cambios cuando la campaña esté lista. Para publicar, completa como mínimo:</w:t>
      </w:r>
    </w:p>
    <w:p>
      <w:pPr>
        <w:pStyle w:val="ListBullet"/>
        <w:spacing w:after="60"/>
        <w:ind w:left="461" w:hanging="230"/>
      </w:pPr>
      <w:r>
        <w:t>Nombre comercial y nombre del club.</w:t>
      </w:r>
    </w:p>
    <w:p>
      <w:pPr>
        <w:pStyle w:val="ListBullet"/>
        <w:spacing w:after="60"/>
        <w:ind w:left="461" w:hanging="230"/>
      </w:pPr>
      <w:r>
        <w:t>Título y descripción del beneficio.</w:t>
      </w:r>
    </w:p>
    <w:p>
      <w:pPr>
        <w:pStyle w:val="ListBullet"/>
        <w:spacing w:after="60"/>
        <w:ind w:left="461" w:hanging="230"/>
      </w:pPr>
      <w:r>
        <w:t>Número de WhatsApp del local.</w:t>
      </w:r>
    </w:p>
    <w:p>
      <w:pPr>
        <w:pStyle w:val="ListBullet"/>
        <w:spacing w:after="60"/>
        <w:ind w:left="461" w:hanging="230"/>
      </w:pPr>
      <w:r>
        <w:t>Texto de consentimiento legal.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EE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 xml:space="preserve">Diferencia clave: </w:t>
            </w:r>
            <w:r>
              <w:t>Guardar borrador conserva el trabajo; Publicar cambios actualiza la experiencia que verá el cliente.</w:t>
            </w:r>
          </w:p>
        </w:tc>
      </w:tr>
    </w:tbl>
    <w:p>
      <w:pPr>
        <w:spacing w:after="0"/>
      </w:pPr>
    </w:p>
    <w:p>
      <w:r>
        <w:t>Si intentas salir con cambios sin guardar, la plataforma debe advertirte. Elige permanecer en el editor para guardar o confirma que deseas descartarlos.</w:t>
      </w:r>
    </w:p>
    <w:p>
      <w:pPr>
        <w:pStyle w:val="Heading1"/>
      </w:pPr>
      <w:r>
        <w:t>6. Usar puntos NFC y QR</w:t>
      </w:r>
    </w:p>
    <w:p>
      <w:r>
        <w:t>Cada campaña comienza con un punto de contacto principal. Su enlace permite atribuir visitas y escaneos al origen físico correspondiente.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691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89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Abrir Puntos NFC/QR</w:t>
              <w:br/>
            </w:r>
            <w:r>
              <w:t>Entra a la sección correspondiente dentro del editor.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691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89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Revisar el estado</w:t>
              <w:br/>
            </w:r>
            <w:r>
              <w:t>Confirma que el punto de contacto esté activo.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691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89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Copiar el enlace</w:t>
              <w:br/>
            </w:r>
            <w:r>
              <w:t>Usa Copiar link para obtener la URL destinada al chip NFC o al código QR.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691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89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Probar antes de distribuir</w:t>
              <w:br/>
            </w:r>
            <w:r>
              <w:t>Abre el enlace en un teléfono y comprueba que la campaña publicada, el beneficio y WhatsApp sean correctos.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EE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 xml:space="preserve">Buena práctica: </w:t>
            </w:r>
            <w:r>
              <w:t>crea nombres de punto de contacto reconocibles, como Entrada, Caja o Sucursal Centro, para interpretar mejor las métricas.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Gestionar campañas</w:t>
      </w:r>
    </w:p>
    <w:p>
      <w:r>
        <w:t>En Ver todas las campañas encontrarás el nombre, enlace público, estado, plantilla, última modificación y acciones disponibles.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Estado</w:t>
            </w:r>
          </w:p>
        </w:tc>
        <w:tc>
          <w:tcPr>
            <w:tcW w:type="dxa" w:w="7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Borrador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Todavía está en preparación o tiene cambios sin publicar.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Publicada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La versión pública está disponible para los clientes.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Pausada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La campaña está temporalmente detenida.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Archivada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La campaña dejó de estar disponible y no cuenta como activa para el cupo del plan.</w:t>
            </w:r>
          </w:p>
        </w:tc>
      </w:tr>
    </w:tbl>
    <w:p>
      <w:r>
        <w:t>Usa Editar para abrir el editor. Usa Archivar solo cuando ya no debas mantener la campaña disponible públicamente.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EE2E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 xml:space="preserve">Atención: </w:t>
            </w:r>
            <w:r>
              <w:t>archivar afecta la disponibilidad pública. Confirma que el equipo ya no utiliza sus enlaces NFC o QR.</w:t>
            </w:r>
          </w:p>
        </w:tc>
      </w:tr>
    </w:tbl>
    <w:p>
      <w:pPr>
        <w:spacing w:after="0"/>
      </w:pPr>
    </w:p>
    <w:p>
      <w:pPr>
        <w:pStyle w:val="Heading1"/>
      </w:pPr>
      <w:r>
        <w:t>8. Suscriptores y difusión</w:t>
      </w:r>
    </w:p>
    <w:p>
      <w:r>
        <w:t>Desde el panel Local, selecciona Ver suscriptores. Esta sección permite filtrar por campaña, buscar por nombre, revisar contactos y preparar lotes para difusión por WhatsApp.</w:t>
      </w:r>
    </w:p>
    <w:p>
      <w:pPr>
        <w:pStyle w:val="ListBullet"/>
        <w:spacing w:after="60"/>
        <w:ind w:left="461" w:hanging="230"/>
      </w:pPr>
      <w:r>
        <w:t>Filtrar por campaña para trabajar con una audiencia específica.</w:t>
      </w:r>
    </w:p>
    <w:p>
      <w:pPr>
        <w:pStyle w:val="ListBullet"/>
        <w:spacing w:after="60"/>
        <w:ind w:left="461" w:hanging="230"/>
      </w:pPr>
      <w:r>
        <w:t>Buscar por nombre para localizar un suscriptor.</w:t>
      </w:r>
    </w:p>
    <w:p>
      <w:pPr>
        <w:pStyle w:val="ListBullet"/>
        <w:spacing w:after="60"/>
        <w:ind w:left="461" w:hanging="230"/>
      </w:pPr>
      <w:r>
        <w:t>Exportar un lote VCF con contactos pendientes de incorporar.</w:t>
      </w:r>
    </w:p>
    <w:p>
      <w:pPr>
        <w:pStyle w:val="ListBullet"/>
        <w:spacing w:after="60"/>
        <w:ind w:left="461" w:hanging="230"/>
      </w:pPr>
      <w:r>
        <w:t>Confirmar el lote después de incorporarlo a la lista de WhatsApp.</w:t>
      </w:r>
    </w:p>
    <w:p>
      <w:pPr>
        <w:pStyle w:val="ListBullet"/>
        <w:spacing w:after="60"/>
        <w:ind w:left="461" w:hanging="230"/>
      </w:pPr>
      <w:r>
        <w:t>Cancelar un lote si no será utilizado.</w:t>
      </w:r>
    </w:p>
    <w:p>
      <w:pPr>
        <w:pStyle w:val="ListBullet"/>
        <w:spacing w:after="60"/>
        <w:ind w:left="461" w:hanging="230"/>
      </w:pPr>
      <w:r>
        <w:t>Marcar una baja de WhatsApp o bloquear administrativamente cuando corresponda.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EE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 xml:space="preserve">Privacidad: </w:t>
            </w:r>
            <w:r>
              <w:t>utiliza los datos solo para el propósito informado en el consentimiento. Respeta solicitudes de baja y no reincorpores contactos sin una nueva base válida.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Recorrido recomendado de operación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691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89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Preparar</w:t>
              <w:br/>
            </w:r>
            <w:r>
              <w:t>Define beneficio, condiciones, identidad, WhatsApp y consentimiento.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691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89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Crear</w:t>
              <w:br/>
            </w:r>
            <w:r>
              <w:t>Registra la campaña y revisa la dirección web.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691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89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Configurar</w:t>
              <w:br/>
            </w:r>
            <w:r>
              <w:t>Completa el editor y guarda un borrador.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691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89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Validar</w:t>
              <w:br/>
            </w:r>
            <w:r>
              <w:t>Prueba la vista pública y el mensaje de WhatsApp desde un teléfono.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691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type="dxa" w:w="89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Publicar</w:t>
              <w:br/>
            </w:r>
            <w:r>
              <w:t>Publica los cambios y vuelve a probar el enlace final.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691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6</w:t>
            </w:r>
          </w:p>
        </w:tc>
        <w:tc>
          <w:tcPr>
            <w:tcW w:type="dxa" w:w="89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Distribuir</w:t>
              <w:br/>
            </w:r>
            <w:r>
              <w:t>Graba o comparte los enlaces de los puntos NFC/QR.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691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7</w:t>
            </w:r>
          </w:p>
        </w:tc>
        <w:tc>
          <w:tcPr>
            <w:tcW w:type="dxa" w:w="89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Medir</w:t>
              <w:br/>
            </w:r>
            <w:r>
              <w:t>Revisa visitas, escaneos, inscritos y conversión.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691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8</w:t>
            </w:r>
          </w:p>
        </w:tc>
        <w:tc>
          <w:tcPr>
            <w:tcW w:type="dxa" w:w="89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Activar</w:t>
              <w:br/>
            </w:r>
            <w:r>
              <w:t>Gestiona suscriptores y lotes respetando el consentimiento.</w:t>
            </w:r>
          </w:p>
        </w:tc>
      </w:tr>
    </w:tbl>
    <w:p>
      <w:pPr>
        <w:spacing w:after="0"/>
      </w:pPr>
    </w:p>
    <w:p>
      <w:pPr>
        <w:pStyle w:val="Heading1"/>
      </w:pPr>
      <w:r>
        <w:t>10. Solución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c>
          <w:tcPr>
            <w:tcW w:type="dxa" w:w="295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Situación</w:t>
            </w:r>
          </w:p>
        </w:tc>
        <w:tc>
          <w:tcPr>
            <w:tcW w:type="dxa" w:w="640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Qué hacer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Local no aparece en el menú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Solicita revisar estado, fecha de inicio y vencimiento de la licencia.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No puedo crear otra campaña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Revisa el cupo del plan y archiva una campaña que ya no esté en uso, o solicita ampliación.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La dirección web no se acepta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Usa 3–30 caracteres: minúsculas, números y guiones. Prueba una variante única.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No puedo publicar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Completa negocio, club, beneficio, WhatsApp y consentimiento; luego intenta nuevamente.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Mis cambios no se ven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Confirma que seleccionaste Publicar cambios, no solo Guardar borrador.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El enlace NFC/QR no funciona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Verifica que el punto esté activo y que la campaña esté publicada.</w:t>
            </w:r>
          </w:p>
        </w:tc>
      </w:tr>
    </w:tbl>
    <w:p>
      <w:pPr>
        <w:pStyle w:val="Heading1"/>
      </w:pPr>
      <w:r>
        <w:t>11. Lista de verificación antes de publicar</w:t>
      </w:r>
    </w:p>
    <w:p>
      <w:pPr>
        <w:pStyle w:val="ListBullet"/>
        <w:spacing w:after="60"/>
        <w:ind w:left="461" w:hanging="230"/>
      </w:pPr>
      <w:r>
        <w:t>☐ El nombre del negocio y del club están escritos correctamente.</w:t>
      </w:r>
    </w:p>
    <w:p>
      <w:pPr>
        <w:pStyle w:val="ListBullet"/>
        <w:spacing w:after="60"/>
        <w:ind w:left="461" w:hanging="230"/>
      </w:pPr>
      <w:r>
        <w:t>☐ El logo y los colores tienen buen contraste.</w:t>
      </w:r>
    </w:p>
    <w:p>
      <w:pPr>
        <w:pStyle w:val="ListBullet"/>
        <w:spacing w:after="60"/>
        <w:ind w:left="461" w:hanging="230"/>
      </w:pPr>
      <w:r>
        <w:t>☐ El beneficio explica qué recibe el cliente y bajo qué condiciones.</w:t>
      </w:r>
    </w:p>
    <w:p>
      <w:pPr>
        <w:pStyle w:val="ListBullet"/>
        <w:spacing w:after="60"/>
        <w:ind w:left="461" w:hanging="230"/>
      </w:pPr>
      <w:r>
        <w:t>☐ El número y el mensaje de WhatsApp fueron probados.</w:t>
      </w:r>
    </w:p>
    <w:p>
      <w:pPr>
        <w:pStyle w:val="ListBullet"/>
        <w:spacing w:after="60"/>
        <w:ind w:left="461" w:hanging="230"/>
      </w:pPr>
      <w:r>
        <w:t>☐ El consentimiento describe la finalidad de los mensajes.</w:t>
      </w:r>
    </w:p>
    <w:p>
      <w:pPr>
        <w:pStyle w:val="ListBullet"/>
        <w:spacing w:after="60"/>
        <w:ind w:left="461" w:hanging="230"/>
      </w:pPr>
      <w:r>
        <w:t>☐ El enlace público abre en un teléfono sin iniciar sesión.</w:t>
      </w:r>
    </w:p>
    <w:p>
      <w:pPr>
        <w:pStyle w:val="ListBullet"/>
        <w:spacing w:after="60"/>
        <w:ind w:left="461" w:hanging="230"/>
      </w:pPr>
      <w:r>
        <w:t>☐ Los enlaces de puntos NFC/QR corresponden a la campaña correcta.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CFCE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 xml:space="preserve">Resultado esperado: </w:t>
            </w:r>
            <w:r>
              <w:t>el cliente entiende el beneficio, puede inscribirse y continuar a WhatsApp sin dudas ni errores.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475569"/>
        <w:sz w:val="16"/>
      </w:rPr>
      <w:t>Smart NFC Local  •  Manual de usuario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SMARTNFC  |  GUÍA DE USO LOCAL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F172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60"/>
      <w:ind w:left="259" w:right="173"/>
    </w:pPr>
    <w:rPr>
      <w:rFonts w:ascii="Arial" w:hAnsi="Arial"/>
      <w:color w:val="0F172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Smart NFC Local</dc:title>
  <dc:subject>Creación y operación de campañas locales</dc:subject>
  <dc:creator>SmartNFC</dc:creator>
  <cp:keywords>Smart NFC Local, campañas, NFC, QR, fidelización, suscriptores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