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jc w:val="center"/>
      </w:pPr>
      <w:r>
        <w:rPr>
          <w:rFonts w:ascii="Calibri" w:hAnsi="Calibri"/>
          <w:b/>
          <w:i w:val="0"/>
          <w:color w:val="2563EB"/>
          <w:sz w:val="22"/>
        </w:rPr>
        <w:t>SMARTNFC CHILE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0B1739"/>
          <w:sz w:val="60"/>
        </w:rPr>
        <w:t>Manual de Superadministración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64748B"/>
          <w:sz w:val="28"/>
        </w:rPr>
        <w:t>Guía práctica para administrar empresas, locales, usuarios, licencias, tarjetas NFC y producción</w:t>
      </w:r>
    </w:p>
    <w:p>
      <w:pPr>
        <w:spacing w:after="1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Documento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Alcance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Versión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Manual operativo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Panel /superadmin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1.1 · 25-08-2026</w:t>
            </w:r>
          </w:p>
        </w:tc>
      </w:tr>
    </w:tbl>
    <w:p>
      <w:pPr>
        <w:spacing w:after="0"/>
      </w:pPr>
    </w:p>
    <w:p>
      <w:pPr>
        <w:pStyle w:val="Correcto"/>
      </w:pPr>
      <w:r>
        <w:rPr>
          <w:rFonts w:ascii="Calibri" w:hAnsi="Calibri"/>
          <w:b/>
          <w:i w:val="0"/>
          <w:color w:val="047857"/>
          <w:sz w:val="21"/>
        </w:rPr>
        <w:t xml:space="preserve">Objetivo: </w:t>
      </w:r>
      <w:r>
        <w:rPr>
          <w:rFonts w:ascii="Calibri" w:hAnsi="Calibri"/>
          <w:b w:val="0"/>
          <w:i w:val="0"/>
          <w:color w:val="047857"/>
          <w:sz w:val="21"/>
        </w:rPr>
        <w:t>Que una persona sin conocimiento técnico pueda operar el panel con seguridad y saber qué funciones están disponibles, cuáles requieren precaución y cuáles aún están incompletas.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1. Qué controla el superadministrador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2. Resumen global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3. Empresas y organizaciones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4. Locales SmartNFC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5. Usuarios y accesos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6. Licencias y capacidad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7. Inventario de tarjetas NFC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8. Producción y códigos QR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9. Flujo recomendado: preparar una tarjeta para un cliente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10. Soporte y recuperación de acceso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11. Procedimientos delicados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12. Estado actual y funciones pendientes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13. Glosario y lista de verificación</w:t>
      </w:r>
    </w:p>
    <w:p>
      <w:pPr>
        <w:pStyle w:val="Nota"/>
      </w:pPr>
      <w:r>
        <w:rPr>
          <w:rFonts w:ascii="Calibri" w:hAnsi="Calibri"/>
          <w:b/>
          <w:i w:val="0"/>
          <w:color w:val="1D4ED8"/>
          <w:sz w:val="21"/>
        </w:rPr>
        <w:t xml:space="preserve">Lectura rápida: </w:t>
      </w:r>
      <w:r>
        <w:rPr>
          <w:rFonts w:ascii="Calibri" w:hAnsi="Calibri"/>
          <w:b w:val="0"/>
          <w:i w:val="0"/>
          <w:color w:val="1D4ED8"/>
          <w:sz w:val="21"/>
        </w:rPr>
        <w:t>Si necesitas entregar una tarjeta a un cliente, comienza por la sección 9. Si vas a suspender una empresa o cambiar roles, revisa primero la sección 11.</w:t>
      </w:r>
    </w:p>
    <w:p>
      <w:pPr>
        <w:pStyle w:val="Heading1"/>
      </w:pPr>
      <w:r>
        <w:t>1. Qué controla el superadministrador</w:t>
      </w:r>
    </w:p>
    <w:p>
      <w:r>
        <w:rPr>
          <w:rFonts w:ascii="Calibri" w:hAnsi="Calibri"/>
          <w:b w:val="0"/>
          <w:i w:val="0"/>
          <w:color w:val="172033"/>
          <w:sz w:val="22"/>
        </w:rPr>
        <w:t>El panel de superadministración es la consola global de SmartNFC. Permite administrar a todas las organizaciones, sus responsables, sus productos contratados y la operación física de las tarjetas.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Concepto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Qué representa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Empresa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Organización cliente aislada dentro de SmartNFC.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Local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Negocio que utiliza campañas, clubes y puntos QR/NFC de SmartNFC Local.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Usuario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Persona que inicia sesión y opera una cuenta.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Identidad digital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Perfil B2B público accesible mediante /c/slug.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Tarjeta física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Chip registrado con una URL permanente /t/token.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Licencia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Producto contratado, estado, fechas y capacidad autorizada.</w:t>
            </w:r>
          </w:p>
        </w:tc>
      </w:tr>
    </w:tbl>
    <w:p>
      <w:pPr>
        <w:spacing w:after="0"/>
      </w:pPr>
    </w:p>
    <w:p>
      <w:pPr>
        <w:pStyle w:val="Precaucion"/>
      </w:pPr>
      <w:r>
        <w:rPr>
          <w:rFonts w:ascii="Calibri" w:hAnsi="Calibri"/>
          <w:b/>
          <w:i w:val="0"/>
          <w:color w:val="B45309"/>
          <w:sz w:val="21"/>
        </w:rPr>
        <w:t xml:space="preserve">Regla principal: </w:t>
      </w:r>
      <w:r>
        <w:rPr>
          <w:rFonts w:ascii="Calibri" w:hAnsi="Calibri"/>
          <w:b w:val="0"/>
          <w:i w:val="0"/>
          <w:color w:val="B45309"/>
          <w:sz w:val="21"/>
        </w:rPr>
        <w:t>No confundas la tarjeta física con el perfil digital. La tarjeta física es el soporte; el perfil es el contenido que el cliente puede editar.</w:t>
      </w:r>
    </w:p>
    <w:p>
      <w:r>
        <w:br w:type="page"/>
      </w:r>
    </w:p>
    <w:p>
      <w:pPr>
        <w:pStyle w:val="Heading1"/>
      </w:pPr>
      <w:r>
        <w:t>2. Resumen global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</w:t>
      </w:r>
    </w:p>
    <w:p>
      <w:r>
        <w:rPr>
          <w:rFonts w:ascii="Calibri" w:hAnsi="Calibri"/>
          <w:b w:val="0"/>
          <w:i w:val="0"/>
          <w:color w:val="172033"/>
          <w:sz w:val="22"/>
        </w:rPr>
        <w:t>Esta pantalla sirve para conocer el estado general de la plataforma. Sus indicadores se calculan directamente desde la base de datos.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Empresas totales, activas y suspendidas.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Usuarios totales y administradores de 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Identidades digitales activas.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Contactos capturados y escaneos registrados.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Empresas creadas durante los últimos 30 días.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Empresas recientes y actividad de auditoría.</w:t>
      </w:r>
    </w:p>
    <w:p>
      <w:pPr>
        <w:pStyle w:val="Nota"/>
      </w:pPr>
      <w:r>
        <w:rPr>
          <w:rFonts w:ascii="Calibri" w:hAnsi="Calibri"/>
          <w:b/>
          <w:i w:val="0"/>
          <w:color w:val="1D4ED8"/>
          <w:sz w:val="21"/>
        </w:rPr>
        <w:t xml:space="preserve">Uso recomendado: </w:t>
      </w:r>
      <w:r>
        <w:rPr>
          <w:rFonts w:ascii="Calibri" w:hAnsi="Calibri"/>
          <w:b w:val="0"/>
          <w:i w:val="0"/>
          <w:color w:val="1D4ED8"/>
          <w:sz w:val="21"/>
        </w:rPr>
        <w:t>Revísala al comenzar una jornada de soporte. Un cambio inesperado en suspendidos, identidades o actividad reciente puede revelar una configuración accidental.</w:t>
      </w:r>
    </w:p>
    <w:p>
      <w:pPr>
        <w:pStyle w:val="Precaucion"/>
      </w:pPr>
      <w:r>
        <w:rPr>
          <w:rFonts w:ascii="Calibri" w:hAnsi="Calibri"/>
          <w:b/>
          <w:i w:val="0"/>
          <w:color w:val="B45309"/>
          <w:sz w:val="21"/>
        </w:rPr>
        <w:t xml:space="preserve">Importante: </w:t>
      </w:r>
      <w:r>
        <w:rPr>
          <w:rFonts w:ascii="Calibri" w:hAnsi="Calibri"/>
          <w:b w:val="0"/>
          <w:i w:val="0"/>
          <w:color w:val="B45309"/>
          <w:sz w:val="21"/>
        </w:rPr>
        <w:t>La actividad reciente utiliza nombres técnicos de acciones. Sirve como respaldo de auditoría, no como historial comercial detallado.</w:t>
      </w:r>
    </w:p>
    <w:p>
      <w:r>
        <w:br w:type="page"/>
      </w:r>
    </w:p>
    <w:p>
      <w:pPr>
        <w:pStyle w:val="Heading1"/>
      </w:pPr>
      <w:r>
        <w:t>3. Empresas y organizaciones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/superadmin/empresas</w:t>
      </w:r>
    </w:p>
    <w:p>
      <w:pPr>
        <w:pStyle w:val="Heading2"/>
      </w:pPr>
      <w:r>
        <w:t>3.1 Crear una empresa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Empresas y luego Registrar nueva empresa.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Escribe el nombre comercial.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Define un slug único, en minúsculas, sin espacios ni caracteres especiales.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SmartNFC Empresas, SmartNFC Local o ambos.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Configura plan, capacidad, estado y fechas.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Opcionalmente crea al administrador principal e ingresa su correo.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Revisa los datos y confirma la creación.</w:t>
      </w:r>
    </w:p>
    <w:p>
      <w:pPr>
        <w:pStyle w:val="Precaucion"/>
      </w:pPr>
      <w:r>
        <w:rPr>
          <w:rFonts w:ascii="Calibri" w:hAnsi="Calibri"/>
          <w:b/>
          <w:i w:val="0"/>
          <w:color w:val="B45309"/>
          <w:sz w:val="21"/>
        </w:rPr>
        <w:t xml:space="preserve">Slug: </w:t>
      </w:r>
      <w:r>
        <w:rPr>
          <w:rFonts w:ascii="Calibri" w:hAnsi="Calibri"/>
          <w:b w:val="0"/>
          <w:i w:val="0"/>
          <w:color w:val="B45309"/>
          <w:sz w:val="21"/>
        </w:rPr>
        <w:t>Es una dirección permanente. Evita RUT, datos sensibles, tildes y nombres provisionales. Ejemplo: estudio-lagos.</w:t>
      </w:r>
    </w:p>
    <w:p>
      <w:pPr>
        <w:pStyle w:val="Heading2"/>
      </w:pPr>
      <w:r>
        <w:t>3.2 Planes de Empresas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Plan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Identidades incluidas inicialmente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Conecta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Crece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15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Escala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30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Corporativo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100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72033"/>
          <w:sz w:val="22"/>
        </w:rPr>
        <w:t>La capacidad puede complementarse con identidades extra autorizadas. La plataforma también permite establecer fecha de inicio y vencimiento.</w:t>
      </w:r>
    </w:p>
    <w:p>
      <w:pPr>
        <w:pStyle w:val="Heading2"/>
      </w:pPr>
      <w:r>
        <w:t>3.3 Editar una empresa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Cambiar nombre, slug y notas internas.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Activar o suspender la organización.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Ajustar capacidad y estado contractual.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Revisar usuarios e identidades asociadas.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Reenviar invitaciones pendientes cuando corresponda.</w:t>
      </w:r>
    </w:p>
    <w:p>
      <w:pPr>
        <w:pStyle w:val="Limitacion"/>
      </w:pPr>
      <w:r>
        <w:rPr>
          <w:rFonts w:ascii="Calibri" w:hAnsi="Calibri"/>
          <w:b/>
          <w:i w:val="0"/>
          <w:color w:val="B91C1C"/>
          <w:sz w:val="21"/>
        </w:rPr>
        <w:t xml:space="preserve">Riesgo: </w:t>
      </w:r>
      <w:r>
        <w:rPr>
          <w:rFonts w:ascii="Calibri" w:hAnsi="Calibri"/>
          <w:b w:val="0"/>
          <w:i w:val="0"/>
          <w:color w:val="B91C1C"/>
          <w:sz w:val="21"/>
        </w:rPr>
        <w:t>Cambiar un slug puede invalidar enlaces impresos o compartidos. Suspender la empresa puede bloquear perfiles, chips y acceso a productos. Hazlo solo con confirmación del responsable.</w:t>
      </w:r>
    </w:p>
    <w:p>
      <w:r>
        <w:br w:type="page"/>
      </w:r>
    </w:p>
    <w:p>
      <w:pPr>
        <w:pStyle w:val="Heading1"/>
      </w:pPr>
      <w:r>
        <w:t>4. Locales SmartNFC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/superadmin/locales</w:t>
      </w:r>
    </w:p>
    <w:p>
      <w:r>
        <w:rPr>
          <w:rFonts w:ascii="Calibri" w:hAnsi="Calibri"/>
          <w:b w:val="0"/>
          <w:i w:val="0"/>
          <w:color w:val="172033"/>
          <w:sz w:val="22"/>
        </w:rPr>
        <w:t>Este módulo concentra negocios que usan SmartNFC Local. Muestra estado, plan, número de campañas, administrador principal y fecha de registro.</w:t>
      </w:r>
    </w:p>
    <w:p>
      <w:pPr>
        <w:pStyle w:val="Heading2"/>
      </w:pPr>
      <w:r>
        <w:t>4.1 Registrar un local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Locales y luego Registrar local.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Completa nombre, slug, categoría, teléfono y dirección.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Añade notas internas si existe información comercial o de implementación.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el plan Local y su estado.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Define límites de campañas, sucursales y puntos QR/NFC cuando el plan sea personalizado.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Configura fechas de inicio y vencimiento.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Crea al administrador principal si ya cuentas con su nombre y correo.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Plan Local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Capacidad inicial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Impulsa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 campaña · 1 sucursal · 3 puntos QR/NFC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Cliente fundador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 campaña · 1 sucursal · 3 puntos QR/NFC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Personalizado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Límites configurables</w:t>
            </w:r>
          </w:p>
        </w:tc>
      </w:tr>
    </w:tbl>
    <w:p>
      <w:pPr>
        <w:spacing w:after="0"/>
      </w:pPr>
    </w:p>
    <w:p>
      <w:pPr>
        <w:pStyle w:val="Precaucion"/>
      </w:pPr>
      <w:r>
        <w:rPr>
          <w:rFonts w:ascii="Calibri" w:hAnsi="Calibri"/>
          <w:b/>
          <w:i w:val="0"/>
          <w:color w:val="B45309"/>
          <w:sz w:val="21"/>
        </w:rPr>
        <w:t xml:space="preserve">Cliente fundador: </w:t>
      </w:r>
      <w:r>
        <w:rPr>
          <w:rFonts w:ascii="Calibri" w:hAnsi="Calibri"/>
          <w:b w:val="0"/>
          <w:i w:val="0"/>
          <w:color w:val="B45309"/>
          <w:sz w:val="21"/>
        </w:rPr>
        <w:t>El formulario muestra un contador recomendado de cinco licencias activas. La advertencia no necesariamente impide crear una adicional; verifica el acuerdo comercial.</w:t>
      </w:r>
    </w:p>
    <w:p>
      <w:r>
        <w:br w:type="page"/>
      </w:r>
    </w:p>
    <w:p>
      <w:pPr>
        <w:pStyle w:val="Heading1"/>
      </w:pPr>
      <w:r>
        <w:t>5. Usuarios y accesos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/superadmin/usuarios</w:t>
      </w:r>
    </w:p>
    <w:p>
      <w:r>
        <w:rPr>
          <w:rFonts w:ascii="Calibri" w:hAnsi="Calibri"/>
          <w:b w:val="0"/>
          <w:i w:val="0"/>
          <w:color w:val="172033"/>
          <w:sz w:val="22"/>
        </w:rPr>
        <w:t>Desde aquí puedes buscar usuarios, crear administradores, modificar roles, mover una cuenta entre empresas, habilitar o deshabilitar el inicio de sesión y reenviar invitaciones.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Rol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Uso esperado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COLLABORATOR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Miembro o vendedor que administra su identidad asignada.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COMPANY_ADMIN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Administra usuarios y recursos de una empresa.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COMPANY_OWNER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Responsable principal o propietario de la organización.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SUPERADMIN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Acceso global. Debe reservarse para operadores de confianza.</w:t>
            </w:r>
          </w:p>
        </w:tc>
      </w:tr>
    </w:tbl>
    <w:p>
      <w:pPr>
        <w:spacing w:after="0"/>
      </w:pPr>
    </w:p>
    <w:p>
      <w:pPr>
        <w:pStyle w:val="Heading2"/>
      </w:pPr>
      <w:r>
        <w:t>5.1 Crear un administrador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Nuevo administrador.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Ingresa nombre y correo real.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la empresa correcta.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Asigna COMPANY_ADMIN o COMPANY_OWNER según corresponda.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Confirma y verifica si la invitación fue enviada.</w:t>
      </w:r>
    </w:p>
    <w:p>
      <w:pPr>
        <w:pStyle w:val="Precaucion"/>
      </w:pPr>
      <w:r>
        <w:rPr>
          <w:rFonts w:ascii="Calibri" w:hAnsi="Calibri"/>
          <w:b/>
          <w:i w:val="0"/>
          <w:color w:val="B45309"/>
          <w:sz w:val="21"/>
        </w:rPr>
        <w:t xml:space="preserve">Correo: </w:t>
      </w:r>
      <w:r>
        <w:rPr>
          <w:rFonts w:ascii="Calibri" w:hAnsi="Calibri"/>
          <w:b w:val="0"/>
          <w:i w:val="0"/>
          <w:color w:val="B45309"/>
          <w:sz w:val="21"/>
        </w:rPr>
        <w:t>Si la empresa se crea pero el correo falla, los datos pueden quedar guardados. No repitas la empresa: revisa Usuarios y utiliza Reenviar invitación.</w:t>
      </w:r>
    </w:p>
    <w:p>
      <w:pPr>
        <w:pStyle w:val="Heading2"/>
      </w:pPr>
      <w:r>
        <w:t>5.2 Cambiar acceso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Desactivar acceso impide iniciar sesión, pero no elimina los datos.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Cambiar de empresa modifica el ámbito de acceso del usuario.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Elevar a SUPERADMIN entrega control global y requiere confirmación explícita.</w:t>
      </w:r>
    </w:p>
    <w:p>
      <w:r>
        <w:br w:type="page"/>
      </w:r>
    </w:p>
    <w:p>
      <w:pPr>
        <w:pStyle w:val="Heading1"/>
      </w:pPr>
      <w:r>
        <w:t>6. Licencias y capacidad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/superadmin/licencias</w:t>
      </w:r>
    </w:p>
    <w:p>
      <w:r>
        <w:rPr>
          <w:rFonts w:ascii="Calibri" w:hAnsi="Calibri"/>
          <w:b w:val="0"/>
          <w:i w:val="0"/>
          <w:color w:val="172033"/>
          <w:sz w:val="22"/>
        </w:rPr>
        <w:t>Esta vista sirve para detectar organizaciones próximas a su límite o que ya tienen sobreuso de identidades.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0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Alerta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Interpretación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Acción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Dentro del límite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Uso inferior a la capacidad.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Sin acción inmediata.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Cerca del límite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Queda una identidad o se alcanzó el máximo.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Contactar o ampliar capacidad.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Sobre el límite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Hay más identidades que capacidad.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Revisar contrato y ajustar licencia.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Suspendida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La empresa está inactiva.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Confirmar motivo antes de reactivar.</w:t>
            </w:r>
          </w:p>
        </w:tc>
      </w:tr>
    </w:tbl>
    <w:p>
      <w:pPr>
        <w:spacing w:after="0"/>
      </w:pPr>
    </w:p>
    <w:p>
      <w:pPr>
        <w:pStyle w:val="Nota"/>
      </w:pPr>
      <w:r>
        <w:rPr>
          <w:rFonts w:ascii="Calibri" w:hAnsi="Calibri"/>
          <w:b/>
          <w:i w:val="0"/>
          <w:color w:val="1D4ED8"/>
          <w:sz w:val="21"/>
        </w:rPr>
        <w:t xml:space="preserve">Diferencia: </w:t>
      </w:r>
      <w:r>
        <w:rPr>
          <w:rFonts w:ascii="Calibri" w:hAnsi="Calibri"/>
          <w:b w:val="0"/>
          <w:i w:val="0"/>
          <w:color w:val="1D4ED8"/>
          <w:sz w:val="21"/>
        </w:rPr>
        <w:t>La pantalla global de Licencias resume capacidad de identidades. La configuración detallada de productos y fechas se administra desde la ficha de cada empresa.</w:t>
      </w:r>
    </w:p>
    <w:p>
      <w:r>
        <w:br w:type="page"/>
      </w:r>
    </w:p>
    <w:p>
      <w:pPr>
        <w:pStyle w:val="Heading1"/>
      </w:pPr>
      <w:r>
        <w:t>7. Inventario de tarjetas NFC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/superadmin/tarjetas</w:t>
      </w:r>
    </w:p>
    <w:p>
      <w:r>
        <w:rPr>
          <w:rFonts w:ascii="Calibri" w:hAnsi="Calibri"/>
          <w:b w:val="0"/>
          <w:i w:val="0"/>
          <w:color w:val="172033"/>
          <w:sz w:val="22"/>
        </w:rPr>
        <w:t>Este inventario registra unidades físicas. NFC Tools no se conecta con SmartNFC: solo escribe en el chip la URL que tú le entregas.</w:t>
      </w:r>
    </w:p>
    <w:p>
      <w:pPr>
        <w:pStyle w:val="Heading2"/>
      </w:pPr>
      <w:r>
        <w:t>7.1 Registrar una tarjeta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Registrar nueva tarjeta.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Elige la empresa propietaria.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Deja el token vacío para que SmartNFC genere uno seguro, salvo que tengas un token previamente definido.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Selecciona el estado inicial y, si corresponde, un código de lote.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Registra la tarjeta y copia su URL /t/token.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Abre NFC Tools, escribe esa URL en el chip, guarda y prueba con otro teléfono.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Estado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Uso sugerido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PENDIENTE_GRABACION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Registrada, aún no escrita con NFC Tools.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GRABADA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URL escrita y comprobada.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ENVIADA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Despachada al cliente.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ENTREGADA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Recibida; el primer uso puede activarla.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ACTIVA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Operativa.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SUSPENDIDA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Bloqueada por pérdida, robo o decisión administrativa.</w:t>
            </w:r>
          </w:p>
        </w:tc>
      </w:tr>
    </w:tbl>
    <w:p>
      <w:pPr>
        <w:spacing w:after="0"/>
      </w:pPr>
    </w:p>
    <w:p>
      <w:pPr>
        <w:pStyle w:val="Heading2"/>
      </w:pPr>
      <w:r>
        <w:t>7.2 Destinos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Libre: pertenece a una empresa, pero no apunta a ningún perfil o punto Local.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B2B: redirige a una identidad digital /c/slug.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Smart Local: redirige a una campaña mediante un punto de contacto.</w:t>
      </w:r>
    </w:p>
    <w:p>
      <w:pPr>
        <w:pStyle w:val="Correcto"/>
      </w:pPr>
      <w:r>
        <w:rPr>
          <w:rFonts w:ascii="Calibri" w:hAnsi="Calibri"/>
          <w:b/>
          <w:i w:val="0"/>
          <w:color w:val="047857"/>
          <w:sz w:val="21"/>
        </w:rPr>
        <w:t xml:space="preserve">No grabes el slug: </w:t>
      </w:r>
      <w:r>
        <w:rPr>
          <w:rFonts w:ascii="Calibri" w:hAnsi="Calibri"/>
          <w:b w:val="0"/>
          <w:i w:val="0"/>
          <w:color w:val="047857"/>
          <w:sz w:val="21"/>
        </w:rPr>
        <w:t>La práctica recomendada es grabar /t/token, no /c/slug. Así puedes cambiar el destino sin volver a escribir el chip.</w:t>
      </w:r>
    </w:p>
    <w:p>
      <w:pPr>
        <w:pStyle w:val="Correcto"/>
      </w:pPr>
      <w:r>
        <w:rPr>
          <w:rFonts w:ascii="Calibri" w:hAnsi="Calibri"/>
          <w:b/>
          <w:i w:val="0"/>
          <w:color w:val="047857"/>
          <w:sz w:val="21"/>
        </w:rPr>
        <w:t xml:space="preserve">Vinculación B2B: </w:t>
      </w:r>
      <w:r>
        <w:rPr>
          <w:rFonts w:ascii="Calibri" w:hAnsi="Calibri"/>
          <w:b w:val="0"/>
          <w:i w:val="0"/>
          <w:color w:val="047857"/>
          <w:sz w:val="21"/>
        </w:rPr>
        <w:t>Puedes seleccionar el perfil al registrar la tarjeta o vincular posteriormente una unidad libre. El sistema impide cruces entre empresas y dobles asignaciones.</w:t>
      </w:r>
    </w:p>
    <w:p>
      <w:r>
        <w:br w:type="page"/>
      </w:r>
    </w:p>
    <w:p>
      <w:pPr>
        <w:pStyle w:val="Heading1"/>
      </w:pPr>
      <w:r>
        <w:t>8. Producción y códigos QR</w:t>
      </w:r>
    </w:p>
    <w:p>
      <w:r>
        <w:rPr>
          <w:rFonts w:ascii="Calibri" w:hAnsi="Calibri"/>
          <w:b w:val="0"/>
          <w:i w:val="0"/>
          <w:color w:val="172033"/>
          <w:sz w:val="22"/>
        </w:rPr>
        <w:t>Ruta: /superadmin/produccion</w:t>
      </w:r>
    </w:p>
    <w:p>
      <w:r>
        <w:rPr>
          <w:rFonts w:ascii="Calibri" w:hAnsi="Calibri"/>
          <w:b w:val="0"/>
          <w:i w:val="0"/>
          <w:color w:val="172033"/>
          <w:sz w:val="22"/>
        </w:rPr>
        <w:t>Producción reúne las identidades digitales creadas y los recursos necesarios para fabricar o revisar una tarjeta física.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Buscar por tarjeta, usuario, correo, slug o 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Abrir el perfil público.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Descargar el QR en PNG.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Descargar el QR en SVG editable.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Revisar diseños físicos creados por el usuario.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Descargar PDF de impresión y SVG de anverso o reverso cuando existen diseños.</w:t>
      </w:r>
    </w:p>
    <w:p>
      <w:pPr>
        <w:pStyle w:val="Nota"/>
      </w:pPr>
      <w:r>
        <w:rPr>
          <w:rFonts w:ascii="Calibri" w:hAnsi="Calibri"/>
          <w:b/>
          <w:i w:val="0"/>
          <w:color w:val="1D4ED8"/>
          <w:sz w:val="21"/>
        </w:rPr>
        <w:t xml:space="preserve">Dos tipos de QR: </w:t>
      </w:r>
      <w:r>
        <w:rPr>
          <w:rFonts w:ascii="Calibri" w:hAnsi="Calibri"/>
          <w:b w:val="0"/>
          <w:i w:val="0"/>
          <w:color w:val="1D4ED8"/>
          <w:sz w:val="21"/>
        </w:rPr>
        <w:t>El QR general de Producción apunta a /c/slug. En Tarjetas NFC puedes descargar el QR de la unidad física, que apunta a /t/token y coincide con la dirección grabada en el chip.</w:t>
      </w:r>
    </w:p>
    <w:p>
      <w:pPr>
        <w:pStyle w:val="Heading2"/>
      </w:pPr>
      <w:r>
        <w:t>8.1 Comprobación antes de imprimir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Abre el perfil público y verifica que cargue.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Escanea el QR desde un teléfono distinto al computador.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Comprueba nombre, empresa y destino.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Verifica tamaño y contraste del QR.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Guarda el archivo de producción con una identificación clara del cliente.</w:t>
      </w:r>
    </w:p>
    <w:p>
      <w:r>
        <w:br w:type="page"/>
      </w:r>
    </w:p>
    <w:p>
      <w:pPr>
        <w:pStyle w:val="Heading1"/>
      </w:pPr>
      <w:r>
        <w:t>9. Flujo recomendado: preparar una tarjeta para un cliente</w:t>
      </w:r>
    </w:p>
    <w:p>
      <w:r>
        <w:rPr>
          <w:rFonts w:ascii="Calibri" w:hAnsi="Calibri"/>
          <w:b w:val="0"/>
          <w:i w:val="0"/>
          <w:color w:val="172033"/>
          <w:sz w:val="22"/>
        </w:rPr>
        <w:t>Este es el procedimiento deseado para un cliente que recibirá una tarjeta ya operativa y completará su perfil después.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Crear o revisar la empresa y activar SmartNFC Empresas.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Crear al usuario con su correo real y enviar la invitación.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Crear una identidad digital vacía o básica con el slug definitivo.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Registrar la tarjeta física para esa empresa.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Vincular la tarjeta física a la identidad B2B.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Copiar /t/token y grabarlo con NFC Tools.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Generar el QR de la misma unidad física.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Probar NFC y QR en modo incógnito o desde otro teléfono.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Marcar la tarjeta como GRABADA, ENVIADA o ENTREGADA según avance.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Enviar la tarjeta y pedir al cliente que active su cuenta y complete su perfil.</w:t>
      </w:r>
    </w:p>
    <w:p>
      <w:pPr>
        <w:pStyle w:val="Correcto"/>
      </w:pPr>
      <w:r>
        <w:rPr>
          <w:rFonts w:ascii="Calibri" w:hAnsi="Calibri"/>
          <w:b/>
          <w:i w:val="0"/>
          <w:color w:val="047857"/>
          <w:sz w:val="21"/>
        </w:rPr>
        <w:t xml:space="preserve">Operativo: </w:t>
      </w:r>
      <w:r>
        <w:rPr>
          <w:rFonts w:ascii="Calibri" w:hAnsi="Calibri"/>
          <w:b w:val="0"/>
          <w:i w:val="0"/>
          <w:color w:val="047857"/>
          <w:sz w:val="21"/>
        </w:rPr>
        <w:t>La vinculación B2B y la descarga del QR basado en el token ya están disponibles desde Tarjetas NFC. Aun así, no marques una unidad como lista sin probar manualmente NFC y QR.</w:t>
      </w:r>
    </w:p>
    <w:p>
      <w:pPr>
        <w:pStyle w:val="Heading2"/>
      </w:pPr>
      <w:r>
        <w:t>9.1 Prueba mínima de entrega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 chip abre smartnfc.cl/t/token.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 sistema redirige al perfil correcto.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 QR abre el mismo destino esperado.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La empresa y la licencia están activas.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 usuario recibió su invitación.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El slug es definitivo y no contiene errores.</w:t>
      </w:r>
    </w:p>
    <w:p>
      <w:r>
        <w:br w:type="page"/>
      </w:r>
    </w:p>
    <w:p>
      <w:pPr>
        <w:pStyle w:val="Heading1"/>
      </w:pPr>
      <w:r>
        <w:t>10. Soporte y recuperación de acceso</w:t>
      </w:r>
    </w:p>
    <w:p>
      <w:pPr>
        <w:pStyle w:val="Heading2"/>
      </w:pPr>
      <w:r>
        <w:t>10.1 El cliente no recibió la invitación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Busca el usuario por correo.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Confirma que esté asignado a la empresa correcta.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Utiliza Reenviar invitación.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Pide revisar spam y promociones.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Si vuelve a fallar, registra el mensaje mostrado y revisa la configuración de correo.</w:t>
      </w:r>
    </w:p>
    <w:p>
      <w:pPr>
        <w:pStyle w:val="Heading2"/>
      </w:pPr>
      <w:r>
        <w:t>10.2 El cliente no puede iniciar sesión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Confirma que el usuario esté habilitado.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Confirma que la empresa esté activa.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Revisa que el correo coincida exactamente.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Utiliza el flujo de recuperación de contraseña.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No crees un usuario duplicado sin verificar primero.</w:t>
      </w:r>
    </w:p>
    <w:p>
      <w:pPr>
        <w:pStyle w:val="Heading2"/>
      </w:pPr>
      <w:r>
        <w:t>10.3 La tarjeta no abre el perfil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Comprueba qué URL contiene el chip mediante NFC Tools.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Si usa /t/token, busca el token en Tarjetas NFC.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Verifica estado ACTIVA o ENTREGADA.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Confirma que tenga destino y que la empresa tenga licencia activa.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Prueba la URL directamente en el navegador.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Si abre otro perfil, no vuelvas a grabar de inmediato: revisa primero la vinculación.</w:t>
      </w:r>
    </w:p>
    <w:p>
      <w:r>
        <w:br w:type="page"/>
      </w:r>
    </w:p>
    <w:p>
      <w:pPr>
        <w:pStyle w:val="Heading1"/>
      </w:pPr>
      <w:r>
        <w:t>11. Procedimientos delicados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Acción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Consecuencia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Antes de confirmar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Suspender empresa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Puede bloquear productos y destinos.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Validar contrato y motivo.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Cambiar slug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Puede romper enlaces impresos.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Confirmar alcance y actualizar materiales.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Mover usuario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Cambia los datos que puede administrar.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Verificar empresa y rol.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Asignar SUPERADMIN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Entrega control global.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Aprobación expresa y cuenta segura.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Desvincular tarjeta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El chip queda sin destino.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Registrar destino anterior y motivo.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Reasignar tarjeta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Cambia su empresa propietaria.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Debe estar libre y confirmada físicamente.</w:t>
            </w:r>
          </w:p>
        </w:tc>
      </w:tr>
    </w:tbl>
    <w:p>
      <w:pPr>
        <w:spacing w:after="0"/>
      </w:pPr>
    </w:p>
    <w:p>
      <w:pPr>
        <w:pStyle w:val="Correcto"/>
      </w:pPr>
      <w:r>
        <w:rPr>
          <w:rFonts w:ascii="Calibri" w:hAnsi="Calibri"/>
          <w:b/>
          <w:i w:val="0"/>
          <w:color w:val="047857"/>
          <w:sz w:val="21"/>
        </w:rPr>
        <w:t xml:space="preserve">Regla de soporte: </w:t>
      </w:r>
      <w:r>
        <w:rPr>
          <w:rFonts w:ascii="Calibri" w:hAnsi="Calibri"/>
          <w:b w:val="0"/>
          <w:i w:val="0"/>
          <w:color w:val="047857"/>
          <w:sz w:val="21"/>
        </w:rPr>
        <w:t>Ante una duda, deshabilitar temporalmente es preferible a borrar o duplicar. El sistema conserva trazabilidad y permite corregir la configuración.</w:t>
      </w:r>
    </w:p>
    <w:p>
      <w:r>
        <w:br w:type="page"/>
      </w:r>
    </w:p>
    <w:p>
      <w:pPr>
        <w:pStyle w:val="Heading1"/>
      </w:pPr>
      <w:r>
        <w:t>12. Estado actual y funciones pendientes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Área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Estado actual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Resumen global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Empresas y productos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Operativo; cambiar slug requiere precaución.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Locales y licencias Local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Usuarios e invitaciones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Operativo; el envío depende del servicio de correo.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Capacidad de identidades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 como vista de control.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Registro de tarjetas físicas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Vinculación a Smart Local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Operativa desde el panel Local de la empresa.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Vinculación física a B2B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Operativa desde el registro o desde una tarjeta libre.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QR de Producción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Operativo; apunta a /c/slug.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QR de tarjeta física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Operativo en PNG y SVG; apunta a /t/token.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Actualización instantánea de inventario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Operativa después de registrar, vincular, desvincular o reasignar.</w:t>
            </w:r>
          </w:p>
        </w:tc>
      </w:tr>
    </w:tbl>
    <w:p>
      <w:pPr>
        <w:spacing w:after="0"/>
      </w:pPr>
    </w:p>
    <w:p>
      <w:pPr>
        <w:pStyle w:val="Heading2"/>
      </w:pPr>
      <w:r>
        <w:t>Mejoras prioritarias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Añadir una vista guiada Preparar tarjeta para cliente que reúna todos los pasos en una sola pantalla.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Permitir registrar pruebas de NFC y QR antes del despacho.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Añadir cambios administrativos de estado de hardware desde el inventario.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Incorporar una comprobación de entrega con NFC, QR, destino y licencia.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033"/>
          <w:sz w:val="22"/>
        </w:rPr>
        <w:t>Actualizar este manual después de cada cambio funcional importante.</w:t>
      </w:r>
    </w:p>
    <w:p>
      <w:r>
        <w:br w:type="page"/>
      </w:r>
    </w:p>
    <w:p>
      <w:pPr>
        <w:pStyle w:val="Heading1"/>
      </w:pPr>
      <w:r>
        <w:t>13. Glosario y lista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Término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B1739"/>
                <w:sz w:val="19"/>
              </w:rPr>
              <w:t>Significado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Slug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Texto legible que identifica un perfil o campaña en la URL.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Token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Código opaco y único que identifica una tarjeta física.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B2B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Producto de identidades digitales para empresas.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Smart Local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Producto de campañas, clubes y puntos de contacto.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Touchpoint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Punto físico o lógico asociado a un QR/NFC Local.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NFC Tools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Aplicación externa utilizada para escribir o leer chips NFC.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QR PNG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Imagen lista para uso común.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QR SVG</w:t>
            </w:r>
          </w:p>
        </w:tc>
        <w:tc>
          <w:tcPr>
            <w:tcW w:type="dxa" w:w="67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Archivo vectorial editable para imprenta o diseño.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de alta de cliente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Empresa creada y nombre verificado.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Producto y plan correctos.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Licencia activa y fechas revisadas.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Usuario asignado a la empresa correcta.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Invitación enviada.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Identidad digital creada con slug definitivo.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Tarjeta física registrada y vinculada.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NFC grabado y probado.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QR probado.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Estado actualizado antes del despacho.</w:t>
      </w:r>
    </w:p>
    <w:p>
      <w:pPr>
        <w:pStyle w:val="Nota"/>
      </w:pPr>
      <w:r>
        <w:rPr>
          <w:rFonts w:ascii="Calibri" w:hAnsi="Calibri"/>
          <w:b/>
          <w:i w:val="0"/>
          <w:color w:val="1D4ED8"/>
          <w:sz w:val="21"/>
        </w:rPr>
        <w:t xml:space="preserve">Mantenimiento: </w:t>
      </w:r>
      <w:r>
        <w:rPr>
          <w:rFonts w:ascii="Calibri" w:hAnsi="Calibri"/>
          <w:b w:val="0"/>
          <w:i w:val="0"/>
          <w:color w:val="1D4ED8"/>
          <w:sz w:val="21"/>
        </w:rPr>
        <w:t>Este manual describe la plataforma observada el 25 de agosto de 2026. Debe revisarse cuando cambien rutas, planes, permisos, estados o flujos de tarjetas físicas.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7"/>
      </w:rPr>
      <w:t>Uso interno · SmartNFC Chile ·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SMARTNFC  |  MANUAL DE SUPERADMINISTRACIÓN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basedOn w:val="Normal"/>
    <w:pPr>
      <w:spacing w:before="120" w:after="160" w:line="288" w:lineRule="auto"/>
      <w:ind w:left="173" w:right="173"/>
      <w:shd w:fill="EAF2FF"/>
    </w:pPr>
    <w:rPr>
      <w:rFonts w:ascii="Calibri" w:hAnsi="Calibri"/>
      <w:color w:val="1D4ED8"/>
      <w:sz w:val="21"/>
    </w:rPr>
  </w:style>
  <w:style w:type="paragraph" w:customStyle="1" w:styleId="Precaucion">
    <w:name w:val="Precaucion"/>
    <w:basedOn w:val="Normal"/>
    <w:pPr>
      <w:spacing w:before="120" w:after="160" w:line="288" w:lineRule="auto"/>
      <w:ind w:left="173" w:right="173"/>
      <w:shd w:fill="FFF7ED"/>
    </w:pPr>
    <w:rPr>
      <w:rFonts w:ascii="Calibri" w:hAnsi="Calibri"/>
      <w:color w:val="B45309"/>
      <w:sz w:val="21"/>
    </w:rPr>
  </w:style>
  <w:style w:type="paragraph" w:customStyle="1" w:styleId="Limitacion">
    <w:name w:val="Limitacion"/>
    <w:basedOn w:val="Normal"/>
    <w:pPr>
      <w:spacing w:before="120" w:after="160" w:line="288" w:lineRule="auto"/>
      <w:ind w:left="173" w:right="173"/>
      <w:shd w:fill="FEF2F2"/>
    </w:pPr>
    <w:rPr>
      <w:rFonts w:ascii="Calibri" w:hAnsi="Calibri"/>
      <w:color w:val="B91C1C"/>
      <w:sz w:val="21"/>
    </w:rPr>
  </w:style>
  <w:style w:type="paragraph" w:customStyle="1" w:styleId="Correcto">
    <w:name w:val="Correcto"/>
    <w:basedOn w:val="Normal"/>
    <w:pPr>
      <w:spacing w:before="120" w:after="160" w:line="288" w:lineRule="auto"/>
      <w:ind w:left="173" w:right="173"/>
      <w:shd w:fill="ECFDF5"/>
    </w:pPr>
    <w:rPr>
      <w:rFonts w:ascii="Calibri" w:hAnsi="Calibri"/>
      <w:color w:val="04785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Superadministración SmartNFC</dc:title>
  <dc:subject>Guía operativa del panel de superadministración</dc:subject>
  <dc:creator>SmartNFC Chile</dc:creator>
  <cp:keywords>SmartNFC, superadministración, NFC, empresas, licencias, usuarios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