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Light" w:hAnsi="Calibri Light"/>
          <w:b/>
          <w:color w:val="0F172A"/>
          <w:sz w:val="52"/>
        </w:rPr>
        <w:t>SMART SOLUTIONS (PTY) LTD</w:t>
      </w:r>
    </w:p>
    <w:p>
      <w:pPr>
        <w:spacing w:before="0" w:after="400"/>
        <w:jc w:val="left"/>
      </w:pPr>
      <w:r>
        <w:rPr>
          <w:rFonts w:ascii="Calibri" w:hAnsi="Calibri"/>
          <w:color w:val="0E7490"/>
          <w:sz w:val="28"/>
        </w:rPr>
        <w:t>Comprehensive 3-Year Business Plan &amp; Commercial Proposal | Q4 Strategic Launch</w:t>
      </w:r>
    </w:p>
    <w:p>
      <w:pPr>
        <w:keepNext/>
        <w:spacing w:before="360" w:after="120"/>
      </w:pPr>
      <w:r>
        <w:rPr>
          <w:rFonts w:ascii="Calibri Light" w:hAnsi="Calibri Light"/>
          <w:b/>
          <w:color w:val="0F172A"/>
          <w:sz w:val="36"/>
        </w:rPr>
        <w:t>Executive Summary &amp; Commercial Pitch</w:t>
      </w:r>
    </w:p>
    <w:p>
      <w:pPr>
        <w:spacing w:before="0" w:after="120" w:line="276" w:lineRule="auto"/>
      </w:pPr>
      <w:r>
        <w:t>Smart Solutions is a B2B conversational AI agency that designs, deploys, and maintains enterprise-grade, customer-service-focused WhatsApp AI chatbots. By combining custom LLM knowledge engines (OpenAI GPT-4o), Meta’s WhatsApp Cloud API, and dynamic database layers (Supabase), Smart Solutions solves a costly operational pain point for South African businesses: lost sales, delayed responses, and high manual inquiry overhead.</w:t>
      </w:r>
    </w:p>
    <w:p>
      <w:pPr>
        <w:spacing w:before="0" w:after="120" w:line="276" w:lineRule="auto"/>
      </w:pPr>
      <w:r>
        <w:t>Our initial go-to-market strategy targets Auto Spares, Tyres, and Automotive Service Suppliers—an industry experiencing massive inquiry volumes (stock checks, fitment queries, store hours) where delayed responses directly result in lost sales to competitors, particularly during high-volume peak periods like the festive season.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0E7490"/>
              <w:top w:val="none"/>
              <w:right w:val="none"/>
              <w:bottom w:val="none"/>
            </w:tcBorders>
          </w:tcPr>
          <w:p>
            <w:pPr>
              <w:spacing w:before="0" w:after="0" w:line="276" w:lineRule="auto"/>
            </w:pPr>
            <w:r>
              <w:rPr>
                <w:b/>
                <w:color w:val="0E7490"/>
                <w:sz w:val="22"/>
              </w:rPr>
              <w:t>Key Value Proposition Highlights</w:t>
              <w:br/>
            </w:r>
            <w:r>
              <w:rPr>
                <w:sz w:val="21"/>
              </w:rPr>
              <w:t>• 24/7 Instant Response: Zero wait time for inventory checks, vehicle fitment confirmation, and automated quotes.</w:t>
              <w:br/>
              <w:t>• In-Chat Transactions: Automated payment link generation (via Yoco/PayFast/Ozow API) allowing customers to buy parts directly within WhatsApp.</w:t>
              <w:br/>
              <w:t>• Ultra-Low Overhead, High Margins: Capitalizing on agentic software tooling and serverless infrastructure to operate at 70%–85% gross profit margins.</w:t>
            </w:r>
          </w:p>
        </w:tc>
      </w:tr>
    </w:tbl>
    <w:p>
      <w:pPr>
        <w:spacing w:after="80"/>
      </w:pPr>
    </w:p>
    <w:p>
      <w:pPr>
        <w:keepNext/>
        <w:spacing w:before="360" w:after="120"/>
      </w:pPr>
      <w:r>
        <w:rPr>
          <w:rFonts w:ascii="Calibri Light" w:hAnsi="Calibri Light"/>
          <w:b/>
          <w:color w:val="0F172A"/>
          <w:sz w:val="36"/>
        </w:rPr>
        <w:t>1. Company Overview &amp; Governance Structure</w:t>
      </w:r>
    </w:p>
    <w:p>
      <w:pPr>
        <w:pStyle w:val="ListBullet"/>
        <w:spacing w:before="0" w:after="80" w:line="276" w:lineRule="auto"/>
      </w:pPr>
      <w:r>
        <w:rPr>
          <w:b/>
          <w:color w:val="0F172A"/>
        </w:rPr>
        <w:t xml:space="preserve">Company Name: </w:t>
      </w:r>
      <w:r>
        <w:t>Smart Solutions (Pty) Ltd</w:t>
      </w:r>
    </w:p>
    <w:p>
      <w:pPr>
        <w:pStyle w:val="ListBullet"/>
        <w:spacing w:before="0" w:after="80" w:line="276" w:lineRule="auto"/>
      </w:pPr>
      <w:r>
        <w:rPr>
          <w:b/>
          <w:color w:val="0F172A"/>
        </w:rPr>
        <w:t xml:space="preserve">Legal Form: </w:t>
      </w:r>
      <w:r>
        <w:t>Private Company (South Africa)</w:t>
      </w:r>
    </w:p>
    <w:p>
      <w:pPr>
        <w:pStyle w:val="ListBullet"/>
        <w:spacing w:before="0" w:after="80" w:line="276" w:lineRule="auto"/>
      </w:pPr>
      <w:r>
        <w:rPr>
          <w:b/>
          <w:color w:val="0F172A"/>
        </w:rPr>
        <w:t xml:space="preserve">Industry Sector: </w:t>
      </w:r>
      <w:r>
        <w:t>B2B Software Services / Artificial Intelligence Integration</w:t>
      </w:r>
    </w:p>
    <w:p>
      <w:pPr>
        <w:pStyle w:val="ListBullet"/>
        <w:spacing w:before="0" w:after="80" w:line="276" w:lineRule="auto"/>
      </w:pPr>
      <w:r>
        <w:rPr>
          <w:b/>
          <w:color w:val="0F172A"/>
        </w:rPr>
        <w:t xml:space="preserve">Founding Objective: </w:t>
      </w:r>
      <w:r>
        <w:t>Build high-margin, recurring-revenue digital infrastructure that operates with minimal physical overhead and can be packaged for acquisition or enterprise scale within 3–5 years.</w:t>
      </w:r>
    </w:p>
    <w:p>
      <w:pPr>
        <w:keepNext/>
        <w:spacing w:before="280" w:after="80"/>
      </w:pPr>
      <w:r>
        <w:rPr>
          <w:rFonts w:ascii="Calibri" w:hAnsi="Calibri"/>
          <w:b/>
          <w:color w:val="0E7490"/>
          <w:sz w:val="26"/>
        </w:rPr>
        <w:t>Intellectual Property (IP) &amp; Asset Ownership</w:t>
      </w:r>
    </w:p>
    <w:p>
      <w:pPr>
        <w:spacing w:before="0" w:after="120" w:line="276" w:lineRule="auto"/>
      </w:pPr>
      <w:r>
        <w:t>Smart Solutions maintains total legal ownership over its core proprietary assets:</w:t>
      </w:r>
    </w:p>
    <w:p>
      <w:pPr>
        <w:pStyle w:val="ListBullet"/>
        <w:spacing w:before="0" w:after="80" w:line="276" w:lineRule="auto"/>
      </w:pPr>
      <w:r>
        <w:rPr>
          <w:b/>
          <w:color w:val="0F172A"/>
        </w:rPr>
        <w:t xml:space="preserve">1. Master Orchestration Engine: </w:t>
      </w:r>
      <w:r>
        <w:t>Multi-tenant Node.js/TypeScript Express server logic handling Meta WhatsApp Webhooks, Supabase queries, and payment webhooks.</w:t>
      </w:r>
    </w:p>
    <w:p>
      <w:pPr>
        <w:pStyle w:val="ListBullet"/>
        <w:spacing w:before="0" w:after="80" w:line="276" w:lineRule="auto"/>
      </w:pPr>
      <w:r>
        <w:rPr>
          <w:b/>
          <w:color w:val="0F172A"/>
        </w:rPr>
        <w:t xml:space="preserve">2. Niche-Specific System Prompts: </w:t>
      </w:r>
      <w:r>
        <w:t>Fine-tuned domain instructions for inventory lookups, healthcare triage, and professional service scheduling.</w:t>
      </w:r>
    </w:p>
    <w:p>
      <w:pPr>
        <w:pStyle w:val="ListBullet"/>
        <w:spacing w:before="0" w:after="80" w:line="276" w:lineRule="auto"/>
      </w:pPr>
      <w:r>
        <w:rPr>
          <w:b/>
          <w:color w:val="0F172A"/>
        </w:rPr>
        <w:t xml:space="preserve">3. Automated Onboarding Blueprint: </w:t>
      </w:r>
      <w:r>
        <w:t>Standard Operating Procedures (SOPs) allowing rapid client deployment in under 48 hours.</w:t>
      </w:r>
    </w:p>
    <w:p>
      <w:pPr>
        <w:keepNext/>
        <w:spacing w:before="360" w:after="120"/>
      </w:pPr>
      <w:r>
        <w:rPr>
          <w:rFonts w:ascii="Calibri Light" w:hAnsi="Calibri Light"/>
          <w:b/>
          <w:color w:val="0F172A"/>
          <w:sz w:val="36"/>
        </w:rPr>
        <w:t>2. Market Analysis &amp; Target Strategy</w:t>
      </w:r>
    </w:p>
    <w:p>
      <w:pPr>
        <w:spacing w:before="0" w:after="120" w:line="276" w:lineRule="auto"/>
      </w:pPr>
      <w:r>
        <w:t>The conversational AI market in South Africa is expanding rapidly (projected at 20%+ CAGR) as small-to-medium businesses (SMEs) transition away from manual email and phone support toward automated WhatsApp workflows. Over 25 million South Africans use WhatsApp daily, making it the primary commerce and communication channel.</w:t>
      </w:r>
    </w:p>
    <w:p>
      <w:pPr>
        <w:spacing w:before="0" w:after="120" w:line="276" w:lineRule="auto"/>
      </w:pPr>
      <w:r>
        <w:rPr>
          <w:b/>
          <w:color w:val="0F172A"/>
        </w:rPr>
        <w:t xml:space="preserve">Target Primary Segment (Auto Spares &amp; Fitment): </w:t>
      </w:r>
      <w:r>
        <w:t>Counter staff spend up to 60% of their workday answering repetitive phone/WhatsApp inquiries ('Do you have brake pads for a 2018 Polo 1.2 TSI?'). Smart Solutions provides an AI bot that ingests the store's inventory database, verifies vehicle make/model/year compatibility, confirms price and stock, and issues an instant payment URL directly inside the chat.</w:t>
      </w:r>
    </w:p>
    <w:p>
      <w:pPr>
        <w:keepNext/>
        <w:spacing w:before="360" w:after="120"/>
      </w:pPr>
      <w:r>
        <w:rPr>
          <w:rFonts w:ascii="Calibri Light" w:hAnsi="Calibri Light"/>
          <w:b/>
          <w:color w:val="0F172A"/>
          <w:sz w:val="36"/>
        </w:rPr>
        <w:t>3. Product &amp; Service Offerings</w:t>
      </w:r>
    </w:p>
    <w:p>
      <w:pPr>
        <w:spacing w:before="0" w:after="120" w:line="276" w:lineRule="auto"/>
      </w:pPr>
      <w:r>
        <w:t>Our product suite is structured into two simple, scalable pricing tiers: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0F172A"/>
            <w:tcMar>
              <w:top w:w="120" w:type="dxa"/>
              <w:bottom w:w="120" w:type="dxa"/>
              <w:left w:w="150" w:type="dxa"/>
              <w:right w:w="150" w:type="dxa"/>
            </w:tcMar>
          </w:tcPr>
          <w:p>
            <w:r>
              <w:rPr>
                <w:b/>
                <w:color w:val="FFFFFF"/>
                <w:sz w:val="20"/>
              </w:rPr>
              <w:t>Package Tier</w:t>
            </w:r>
          </w:p>
        </w:tc>
        <w:tc>
          <w:tcPr>
            <w:tcW w:type="dxa" w:w="3120"/>
            <w:shd w:fill="0F172A"/>
            <w:tcMar>
              <w:top w:w="120" w:type="dxa"/>
              <w:bottom w:w="120" w:type="dxa"/>
              <w:left w:w="150" w:type="dxa"/>
              <w:right w:w="150" w:type="dxa"/>
            </w:tcMar>
          </w:tcPr>
          <w:p>
            <w:r>
              <w:rPr>
                <w:b/>
                <w:color w:val="FFFFFF"/>
                <w:sz w:val="20"/>
              </w:rPr>
              <w:t>Key Features &amp; Capabilities</w:t>
            </w:r>
          </w:p>
        </w:tc>
        <w:tc>
          <w:tcPr>
            <w:tcW w:type="dxa" w:w="3120"/>
            <w:shd w:fill="0F172A"/>
            <w:tcMar>
              <w:top w:w="120" w:type="dxa"/>
              <w:bottom w:w="120" w:type="dxa"/>
              <w:left w:w="150" w:type="dxa"/>
              <w:right w:w="150" w:type="dxa"/>
            </w:tcMar>
          </w:tcPr>
          <w:p>
            <w:r>
              <w:rPr>
                <w:b/>
                <w:color w:val="FFFFFF"/>
                <w:sz w:val="20"/>
              </w:rPr>
              <w:t>Target Pricing (ZAR)</w:t>
            </w:r>
          </w:p>
        </w:tc>
      </w:tr>
      <w:tr>
        <w:tc>
          <w:tcPr>
            <w:tcW w:type="dxa" w:w="3120"/>
            <w:shd w:fill="F8FAFC"/>
            <w:tcMar>
              <w:top w:w="100" w:type="dxa"/>
              <w:bottom w:w="100" w:type="dxa"/>
              <w:left w:w="150" w:type="dxa"/>
              <w:right w:w="150" w:type="dxa"/>
            </w:tcMar>
          </w:tcPr>
          <w:p>
            <w:pPr>
              <w:spacing w:line="276" w:lineRule="auto"/>
            </w:pPr>
            <w:r>
              <w:rPr>
                <w:b/>
                <w:sz w:val="19"/>
              </w:rPr>
              <w:t>Tier 1: Essential Assistant</w:t>
            </w:r>
          </w:p>
        </w:tc>
        <w:tc>
          <w:tcPr>
            <w:tcW w:type="dxa" w:w="3120"/>
            <w:shd w:fill="F8FAFC"/>
            <w:tcMar>
              <w:top w:w="100" w:type="dxa"/>
              <w:bottom w:w="100" w:type="dxa"/>
              <w:left w:w="150" w:type="dxa"/>
              <w:right w:w="150" w:type="dxa"/>
            </w:tcMar>
          </w:tcPr>
          <w:p>
            <w:pPr>
              <w:spacing w:line="276" w:lineRule="auto"/>
            </w:pPr>
            <w:r>
              <w:rPr>
                <w:sz w:val="19"/>
              </w:rPr>
              <w:t>• WhatsApp API integration</w:t>
              <w:br/>
              <w:t>• Knowledge base trained on business FAQs</w:t>
              <w:br/>
              <w:t>• Lead capture &amp; human handoff</w:t>
              <w:br/>
              <w:t>• Automated business hours reply</w:t>
            </w:r>
          </w:p>
        </w:tc>
        <w:tc>
          <w:tcPr>
            <w:tcW w:type="dxa" w:w="3120"/>
            <w:shd w:fill="F8FAFC"/>
            <w:tcMar>
              <w:top w:w="100" w:type="dxa"/>
              <w:bottom w:w="100" w:type="dxa"/>
              <w:left w:w="150" w:type="dxa"/>
              <w:right w:w="150" w:type="dxa"/>
            </w:tcMar>
          </w:tcPr>
          <w:p>
            <w:pPr>
              <w:spacing w:line="276" w:lineRule="auto"/>
            </w:pPr>
            <w:r>
              <w:rPr>
                <w:sz w:val="19"/>
              </w:rPr>
              <w:t>Setup: R4,500</w:t>
              <w:br/>
              <w:t>Retainer: R950 / month</w:t>
            </w:r>
          </w:p>
        </w:tc>
      </w:tr>
      <w:tr>
        <w:tc>
          <w:tcPr>
            <w:tcW w:type="dxa" w:w="3120"/>
            <w:shd w:fill="FFFFFF"/>
            <w:tcMar>
              <w:top w:w="100" w:type="dxa"/>
              <w:bottom w:w="100" w:type="dxa"/>
              <w:left w:w="150" w:type="dxa"/>
              <w:right w:w="150" w:type="dxa"/>
            </w:tcMar>
          </w:tcPr>
          <w:p>
            <w:pPr>
              <w:spacing w:line="276" w:lineRule="auto"/>
            </w:pPr>
            <w:r>
              <w:rPr>
                <w:b/>
                <w:sz w:val="19"/>
              </w:rPr>
              <w:t>Tier 2: Transactional Pro</w:t>
              <w:br/>
              <w:t>(Core Focus)</w:t>
            </w:r>
          </w:p>
        </w:tc>
        <w:tc>
          <w:tcPr>
            <w:tcW w:type="dxa" w:w="3120"/>
            <w:shd w:fill="FFFFFF"/>
            <w:tcMar>
              <w:top w:w="100" w:type="dxa"/>
              <w:bottom w:w="100" w:type="dxa"/>
              <w:left w:w="150" w:type="dxa"/>
              <w:right w:w="150" w:type="dxa"/>
            </w:tcMar>
          </w:tcPr>
          <w:p>
            <w:pPr>
              <w:spacing w:line="276" w:lineRule="auto"/>
            </w:pPr>
            <w:r>
              <w:rPr>
                <w:sz w:val="19"/>
              </w:rPr>
              <w:t>• Everything in Tier 1</w:t>
              <w:br/>
              <w:t>• Dynamic Supabase Inventory search</w:t>
              <w:br/>
              <w:t>• Vehicle make/model fitment lookup</w:t>
              <w:br/>
              <w:t>• Automated Yoco/PayFast payment links</w:t>
              <w:br/>
              <w:t>• Shared team inbox escalation</w:t>
            </w:r>
          </w:p>
        </w:tc>
        <w:tc>
          <w:tcPr>
            <w:tcW w:type="dxa" w:w="3120"/>
            <w:shd w:fill="FFFFFF"/>
            <w:tcMar>
              <w:top w:w="100" w:type="dxa"/>
              <w:bottom w:w="100" w:type="dxa"/>
              <w:left w:w="150" w:type="dxa"/>
              <w:right w:w="150" w:type="dxa"/>
            </w:tcMar>
          </w:tcPr>
          <w:p>
            <w:pPr>
              <w:spacing w:line="276" w:lineRule="auto"/>
            </w:pPr>
            <w:r>
              <w:rPr>
                <w:sz w:val="19"/>
              </w:rPr>
              <w:t>Setup: R8,500</w:t>
              <w:br/>
              <w:t>Retainer: R1,850 / month</w:t>
            </w:r>
          </w:p>
        </w:tc>
      </w:tr>
    </w:tbl>
    <w:p>
      <w:pPr>
        <w:spacing w:after="120"/>
      </w:pPr>
    </w:p>
    <w:p>
      <w:pPr>
        <w:keepNext/>
        <w:spacing w:before="360" w:after="120"/>
      </w:pPr>
      <w:r>
        <w:rPr>
          <w:rFonts w:ascii="Calibri Light" w:hAnsi="Calibri Light"/>
          <w:b/>
          <w:color w:val="0F172A"/>
          <w:sz w:val="36"/>
        </w:rPr>
        <w:t>4. Operational Strategy &amp; Technical Architecture</w:t>
      </w:r>
    </w:p>
    <w:p>
      <w:pPr>
        <w:spacing w:before="0" w:after="120" w:line="276" w:lineRule="auto"/>
      </w:pPr>
      <w:r>
        <w:t>The technical stack is engineered for maximum uptime, strict security, and zero server maintenance overhead. The core engine utilizes Node.js/TypeScript hosted on Railway/Vercel, querying Supabase for inventory state and interfacing with Meta WhatsApp Cloud API and Yoco/PayFast gateways via secure HTTPS webhooks.</w:t>
      </w:r>
    </w:p>
    <w:p>
      <w:pPr>
        <w:keepNext/>
        <w:spacing w:before="360" w:after="120"/>
      </w:pPr>
      <w:r>
        <w:rPr>
          <w:rFonts w:ascii="Calibri Light" w:hAnsi="Calibri Light"/>
          <w:b/>
          <w:color w:val="0F172A"/>
          <w:sz w:val="36"/>
        </w:rPr>
        <w:t>5. Comprehensive 3-Year Financial Model</w:t>
      </w:r>
    </w:p>
    <w:p>
      <w:pPr>
        <w:keepNext/>
        <w:spacing w:before="280" w:after="80"/>
      </w:pPr>
      <w:r>
        <w:rPr>
          <w:rFonts w:ascii="Calibri" w:hAnsi="Calibri"/>
          <w:b/>
          <w:color w:val="0E7490"/>
          <w:sz w:val="26"/>
        </w:rPr>
        <w:t>5.1 Core Financial Assumptions</w:t>
      </w:r>
    </w:p>
    <w:p>
      <w:pPr>
        <w:pStyle w:val="ListBullet"/>
        <w:spacing w:before="0" w:after="80" w:line="276" w:lineRule="auto"/>
      </w:pPr>
      <w:r>
        <w:rPr>
          <w:b/>
          <w:color w:val="0F172A"/>
        </w:rPr>
        <w:t xml:space="preserve">Pricing Structure: </w:t>
      </w:r>
      <w:r>
        <w:t>Average upfront setup fee of R7,500 and average monthly maintenance retainer of R1,500 per client.</w:t>
      </w:r>
    </w:p>
    <w:p>
      <w:pPr>
        <w:pStyle w:val="ListBullet"/>
        <w:spacing w:before="0" w:after="80" w:line="276" w:lineRule="auto"/>
      </w:pPr>
      <w:r>
        <w:rPr>
          <w:b/>
          <w:color w:val="0F172A"/>
        </w:rPr>
        <w:t xml:space="preserve">Client Churn Rate: </w:t>
      </w:r>
      <w:r>
        <w:t>Estimated at 3% per month due to deep integration with client operations.</w:t>
      </w:r>
    </w:p>
    <w:p>
      <w:pPr>
        <w:pStyle w:val="ListBullet"/>
        <w:spacing w:before="0" w:after="80" w:line="276" w:lineRule="auto"/>
      </w:pPr>
      <w:r>
        <w:rPr>
          <w:b/>
          <w:color w:val="0F172A"/>
        </w:rPr>
        <w:t xml:space="preserve">Direct Costs (COGS): </w:t>
      </w:r>
      <w:r>
        <w:t>Meta API free tier + OpenAI token fees (~R150/mo) + hosting allocation (~R100/mo) = ~R250 total COGS per active bot.</w:t>
      </w:r>
    </w:p>
    <w:p>
      <w:pPr>
        <w:pStyle w:val="ListBullet"/>
        <w:spacing w:before="0" w:after="80" w:line="276" w:lineRule="auto"/>
      </w:pPr>
      <w:r>
        <w:rPr>
          <w:b/>
          <w:color w:val="0F172A"/>
        </w:rPr>
        <w:t xml:space="preserve">Operating Expenses (OpEx): </w:t>
      </w:r>
      <w:r>
        <w:t>Covers software tools, local marketing/ads, administrative fees, and founder draw.</w:t>
      </w:r>
    </w:p>
    <w:p>
      <w:pPr>
        <w:keepNext/>
        <w:spacing w:before="280" w:after="80"/>
      </w:pPr>
      <w:r>
        <w:rPr>
          <w:rFonts w:ascii="Calibri" w:hAnsi="Calibri"/>
          <w:b/>
          <w:color w:val="0E7490"/>
          <w:sz w:val="26"/>
        </w:rPr>
        <w:t>5.2 Client Acquisition &amp; Growth Projection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b/>
                <w:color w:val="FFFFFF"/>
                <w:sz w:val="20"/>
              </w:rPr>
              <w:t>Growth Metric</w:t>
            </w:r>
          </w:p>
        </w:tc>
        <w:tc>
          <w:tcPr>
            <w:tcW w:type="dxa" w:w="2340"/>
            <w:shd w:fill="0F172A"/>
            <w:tcMar>
              <w:top w:w="120" w:type="dxa"/>
              <w:bottom w:w="120" w:type="dxa"/>
              <w:left w:w="150" w:type="dxa"/>
              <w:right w:w="150" w:type="dxa"/>
            </w:tcMar>
          </w:tcPr>
          <w:p>
            <w:r>
              <w:rPr>
                <w:b/>
                <w:color w:val="FFFFFF"/>
                <w:sz w:val="20"/>
              </w:rPr>
              <w:t>Year 1 (Q1 – Q4)</w:t>
            </w:r>
          </w:p>
        </w:tc>
        <w:tc>
          <w:tcPr>
            <w:tcW w:type="dxa" w:w="2340"/>
            <w:shd w:fill="0F172A"/>
            <w:tcMar>
              <w:top w:w="120" w:type="dxa"/>
              <w:bottom w:w="120" w:type="dxa"/>
              <w:left w:w="150" w:type="dxa"/>
              <w:right w:w="150" w:type="dxa"/>
            </w:tcMar>
          </w:tcPr>
          <w:p>
            <w:r>
              <w:rPr>
                <w:b/>
                <w:color w:val="FFFFFF"/>
                <w:sz w:val="20"/>
              </w:rPr>
              <w:t>Year 2</w:t>
            </w:r>
          </w:p>
        </w:tc>
        <w:tc>
          <w:tcPr>
            <w:tcW w:type="dxa" w:w="2340"/>
            <w:shd w:fill="0F172A"/>
            <w:tcMar>
              <w:top w:w="120" w:type="dxa"/>
              <w:bottom w:w="120" w:type="dxa"/>
              <w:left w:w="150" w:type="dxa"/>
              <w:right w:w="150" w:type="dxa"/>
            </w:tcMar>
          </w:tcPr>
          <w:p>
            <w:r>
              <w:rPr>
                <w:b/>
                <w:color w:val="FFFFFF"/>
                <w:sz w:val="20"/>
              </w:rPr>
              <w:t>Year 3</w:t>
            </w:r>
          </w:p>
        </w:tc>
      </w:tr>
      <w:tr>
        <w:tc>
          <w:tcPr>
            <w:tcW w:type="dxa" w:w="2340"/>
            <w:shd w:fill="F8FAFC"/>
            <w:tcMar>
              <w:top w:w="100" w:type="dxa"/>
              <w:bottom w:w="100" w:type="dxa"/>
              <w:left w:w="150" w:type="dxa"/>
              <w:right w:w="150" w:type="dxa"/>
            </w:tcMar>
          </w:tcPr>
          <w:p>
            <w:r>
              <w:rPr>
                <w:b/>
                <w:sz w:val="19"/>
              </w:rPr>
              <w:t>New Clients Acquired</w:t>
            </w:r>
          </w:p>
        </w:tc>
        <w:tc>
          <w:tcPr>
            <w:tcW w:type="dxa" w:w="2340"/>
            <w:shd w:fill="F8FAFC"/>
            <w:tcMar>
              <w:top w:w="100" w:type="dxa"/>
              <w:bottom w:w="100" w:type="dxa"/>
              <w:left w:w="150" w:type="dxa"/>
              <w:right w:w="150" w:type="dxa"/>
            </w:tcMar>
          </w:tcPr>
          <w:p>
            <w:r>
              <w:rPr>
                <w:sz w:val="19"/>
              </w:rPr>
              <w:t>24 (Avg. 2/mo)</w:t>
            </w:r>
          </w:p>
        </w:tc>
        <w:tc>
          <w:tcPr>
            <w:tcW w:type="dxa" w:w="2340"/>
            <w:shd w:fill="F8FAFC"/>
            <w:tcMar>
              <w:top w:w="100" w:type="dxa"/>
              <w:bottom w:w="100" w:type="dxa"/>
              <w:left w:w="150" w:type="dxa"/>
              <w:right w:w="150" w:type="dxa"/>
            </w:tcMar>
          </w:tcPr>
          <w:p>
            <w:r>
              <w:rPr>
                <w:sz w:val="19"/>
              </w:rPr>
              <w:t>48 (Avg. 4/mo)</w:t>
            </w:r>
          </w:p>
        </w:tc>
        <w:tc>
          <w:tcPr>
            <w:tcW w:type="dxa" w:w="2340"/>
            <w:shd w:fill="F8FAFC"/>
            <w:tcMar>
              <w:top w:w="100" w:type="dxa"/>
              <w:bottom w:w="100" w:type="dxa"/>
              <w:left w:w="150" w:type="dxa"/>
              <w:right w:w="150" w:type="dxa"/>
            </w:tcMar>
          </w:tcPr>
          <w:p>
            <w:r>
              <w:rPr>
                <w:sz w:val="19"/>
              </w:rPr>
              <w:t>72 (Avg. 6/mo)</w:t>
            </w:r>
          </w:p>
        </w:tc>
      </w:tr>
      <w:tr>
        <w:tc>
          <w:tcPr>
            <w:tcW w:type="dxa" w:w="2340"/>
            <w:shd w:fill="FFFFFF"/>
            <w:tcMar>
              <w:top w:w="100" w:type="dxa"/>
              <w:bottom w:w="100" w:type="dxa"/>
              <w:left w:w="150" w:type="dxa"/>
              <w:right w:w="150" w:type="dxa"/>
            </w:tcMar>
          </w:tcPr>
          <w:p>
            <w:r>
              <w:rPr>
                <w:b/>
                <w:sz w:val="19"/>
              </w:rPr>
              <w:t>Churned Clients</w:t>
            </w:r>
          </w:p>
        </w:tc>
        <w:tc>
          <w:tcPr>
            <w:tcW w:type="dxa" w:w="2340"/>
            <w:shd w:fill="FFFFFF"/>
            <w:tcMar>
              <w:top w:w="100" w:type="dxa"/>
              <w:bottom w:w="100" w:type="dxa"/>
              <w:left w:w="150" w:type="dxa"/>
              <w:right w:w="150" w:type="dxa"/>
            </w:tcMar>
          </w:tcPr>
          <w:p>
            <w:r>
              <w:rPr>
                <w:sz w:val="19"/>
              </w:rPr>
              <w:t>2</w:t>
            </w:r>
          </w:p>
        </w:tc>
        <w:tc>
          <w:tcPr>
            <w:tcW w:type="dxa" w:w="2340"/>
            <w:shd w:fill="FFFFFF"/>
            <w:tcMar>
              <w:top w:w="100" w:type="dxa"/>
              <w:bottom w:w="100" w:type="dxa"/>
              <w:left w:w="150" w:type="dxa"/>
              <w:right w:w="150" w:type="dxa"/>
            </w:tcMar>
          </w:tcPr>
          <w:p>
            <w:r>
              <w:rPr>
                <w:sz w:val="19"/>
              </w:rPr>
              <w:t>8</w:t>
            </w:r>
          </w:p>
        </w:tc>
        <w:tc>
          <w:tcPr>
            <w:tcW w:type="dxa" w:w="2340"/>
            <w:shd w:fill="FFFFFF"/>
            <w:tcMar>
              <w:top w:w="100" w:type="dxa"/>
              <w:bottom w:w="100" w:type="dxa"/>
              <w:left w:w="150" w:type="dxa"/>
              <w:right w:w="150" w:type="dxa"/>
            </w:tcMar>
          </w:tcPr>
          <w:p>
            <w:r>
              <w:rPr>
                <w:sz w:val="19"/>
              </w:rPr>
              <w:t>18</w:t>
            </w:r>
          </w:p>
        </w:tc>
      </w:tr>
      <w:tr>
        <w:tc>
          <w:tcPr>
            <w:tcW w:type="dxa" w:w="2340"/>
            <w:shd w:fill="F8FAFC"/>
            <w:tcMar>
              <w:top w:w="100" w:type="dxa"/>
              <w:bottom w:w="100" w:type="dxa"/>
              <w:left w:w="150" w:type="dxa"/>
              <w:right w:w="150" w:type="dxa"/>
            </w:tcMar>
          </w:tcPr>
          <w:p>
            <w:r>
              <w:rPr>
                <w:b/>
                <w:sz w:val="19"/>
              </w:rPr>
              <w:t>Active Ending Clients</w:t>
            </w:r>
          </w:p>
        </w:tc>
        <w:tc>
          <w:tcPr>
            <w:tcW w:type="dxa" w:w="2340"/>
            <w:shd w:fill="F8FAFC"/>
            <w:tcMar>
              <w:top w:w="100" w:type="dxa"/>
              <w:bottom w:w="100" w:type="dxa"/>
              <w:left w:w="150" w:type="dxa"/>
              <w:right w:w="150" w:type="dxa"/>
            </w:tcMar>
          </w:tcPr>
          <w:p>
            <w:r>
              <w:rPr>
                <w:b/>
                <w:sz w:val="19"/>
              </w:rPr>
              <w:t>22</w:t>
            </w:r>
          </w:p>
        </w:tc>
        <w:tc>
          <w:tcPr>
            <w:tcW w:type="dxa" w:w="2340"/>
            <w:shd w:fill="F8FAFC"/>
            <w:tcMar>
              <w:top w:w="100" w:type="dxa"/>
              <w:bottom w:w="100" w:type="dxa"/>
              <w:left w:w="150" w:type="dxa"/>
              <w:right w:w="150" w:type="dxa"/>
            </w:tcMar>
          </w:tcPr>
          <w:p>
            <w:r>
              <w:rPr>
                <w:b/>
                <w:sz w:val="19"/>
              </w:rPr>
              <w:t>62</w:t>
            </w:r>
          </w:p>
        </w:tc>
        <w:tc>
          <w:tcPr>
            <w:tcW w:type="dxa" w:w="2340"/>
            <w:shd w:fill="F8FAFC"/>
            <w:tcMar>
              <w:top w:w="100" w:type="dxa"/>
              <w:bottom w:w="100" w:type="dxa"/>
              <w:left w:w="150" w:type="dxa"/>
              <w:right w:w="150" w:type="dxa"/>
            </w:tcMar>
          </w:tcPr>
          <w:p>
            <w:r>
              <w:rPr>
                <w:b/>
                <w:sz w:val="19"/>
              </w:rPr>
              <w:t>116</w:t>
            </w:r>
          </w:p>
        </w:tc>
      </w:tr>
    </w:tbl>
    <w:p>
      <w:pPr>
        <w:spacing w:after="120"/>
      </w:pPr>
    </w:p>
    <w:p>
      <w:pPr>
        <w:keepNext/>
        <w:spacing w:before="280" w:after="80"/>
      </w:pPr>
      <w:r>
        <w:rPr>
          <w:rFonts w:ascii="Calibri" w:hAnsi="Calibri"/>
          <w:b/>
          <w:color w:val="0E7490"/>
          <w:sz w:val="26"/>
        </w:rPr>
        <w:t>5.3 3-Year Income Statement Forecast (ZAR)</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2340"/>
            <w:shd w:fill="0F172A"/>
            <w:tcMar>
              <w:top w:w="120" w:type="dxa"/>
              <w:bottom w:w="120" w:type="dxa"/>
              <w:left w:w="150" w:type="dxa"/>
              <w:right w:w="150" w:type="dxa"/>
            </w:tcMar>
          </w:tcPr>
          <w:p>
            <w:r>
              <w:rPr>
                <w:b/>
                <w:color w:val="FFFFFF"/>
                <w:sz w:val="20"/>
              </w:rPr>
              <w:t>Financial Statement Item (ZAR)</w:t>
            </w:r>
          </w:p>
        </w:tc>
        <w:tc>
          <w:tcPr>
            <w:tcW w:type="dxa" w:w="2340"/>
            <w:shd w:fill="0F172A"/>
            <w:tcMar>
              <w:top w:w="120" w:type="dxa"/>
              <w:bottom w:w="120" w:type="dxa"/>
              <w:left w:w="150" w:type="dxa"/>
              <w:right w:w="150" w:type="dxa"/>
            </w:tcMar>
          </w:tcPr>
          <w:p>
            <w:r>
              <w:rPr>
                <w:b/>
                <w:color w:val="FFFFFF"/>
                <w:sz w:val="20"/>
              </w:rPr>
              <w:t>Year 1</w:t>
            </w:r>
          </w:p>
        </w:tc>
        <w:tc>
          <w:tcPr>
            <w:tcW w:type="dxa" w:w="2340"/>
            <w:shd w:fill="0F172A"/>
            <w:tcMar>
              <w:top w:w="120" w:type="dxa"/>
              <w:bottom w:w="120" w:type="dxa"/>
              <w:left w:w="150" w:type="dxa"/>
              <w:right w:w="150" w:type="dxa"/>
            </w:tcMar>
          </w:tcPr>
          <w:p>
            <w:r>
              <w:rPr>
                <w:b/>
                <w:color w:val="FFFFFF"/>
                <w:sz w:val="20"/>
              </w:rPr>
              <w:t>Year 2</w:t>
            </w:r>
          </w:p>
        </w:tc>
        <w:tc>
          <w:tcPr>
            <w:tcW w:type="dxa" w:w="2340"/>
            <w:shd w:fill="0F172A"/>
            <w:tcMar>
              <w:top w:w="120" w:type="dxa"/>
              <w:bottom w:w="120" w:type="dxa"/>
              <w:left w:w="150" w:type="dxa"/>
              <w:right w:w="150" w:type="dxa"/>
            </w:tcMar>
          </w:tcPr>
          <w:p>
            <w:r>
              <w:rPr>
                <w:b/>
                <w:color w:val="FFFFFF"/>
                <w:sz w:val="20"/>
              </w:rPr>
              <w:t>Year 3</w:t>
            </w:r>
          </w:p>
        </w:tc>
      </w:tr>
      <w:tr>
        <w:tc>
          <w:tcPr>
            <w:tcW w:type="dxa" w:w="2340"/>
            <w:shd w:fill="F8FAFC"/>
            <w:tcMar>
              <w:top w:w="80" w:type="dxa"/>
              <w:bottom w:w="80" w:type="dxa"/>
              <w:left w:w="150" w:type="dxa"/>
              <w:right w:w="150" w:type="dxa"/>
            </w:tcMar>
          </w:tcPr>
          <w:p>
            <w:r>
              <w:rPr>
                <w:b/>
                <w:sz w:val="18"/>
              </w:rPr>
              <w:t>REVENUE</w:t>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r>
      <w:tr>
        <w:tc>
          <w:tcPr>
            <w:tcW w:type="dxa" w:w="2340"/>
            <w:shd w:fill="FFFFFF"/>
            <w:tcMar>
              <w:top w:w="80" w:type="dxa"/>
              <w:bottom w:w="80" w:type="dxa"/>
              <w:left w:w="150" w:type="dxa"/>
              <w:right w:w="150" w:type="dxa"/>
            </w:tcMar>
          </w:tcPr>
          <w:p>
            <w:r>
              <w:rPr>
                <w:sz w:val="18"/>
              </w:rPr>
              <w:t xml:space="preserve">  Setup Fees (Upfront)</w:t>
            </w:r>
          </w:p>
        </w:tc>
        <w:tc>
          <w:tcPr>
            <w:tcW w:type="dxa" w:w="2340"/>
            <w:shd w:fill="FFFFFF"/>
            <w:tcMar>
              <w:top w:w="80" w:type="dxa"/>
              <w:bottom w:w="80" w:type="dxa"/>
              <w:left w:w="150" w:type="dxa"/>
              <w:right w:w="150" w:type="dxa"/>
            </w:tcMar>
          </w:tcPr>
          <w:p>
            <w:r>
              <w:rPr>
                <w:sz w:val="18"/>
              </w:rPr>
              <w:t>R 180,000</w:t>
            </w:r>
          </w:p>
        </w:tc>
        <w:tc>
          <w:tcPr>
            <w:tcW w:type="dxa" w:w="2340"/>
            <w:shd w:fill="FFFFFF"/>
            <w:tcMar>
              <w:top w:w="80" w:type="dxa"/>
              <w:bottom w:w="80" w:type="dxa"/>
              <w:left w:w="150" w:type="dxa"/>
              <w:right w:w="150" w:type="dxa"/>
            </w:tcMar>
          </w:tcPr>
          <w:p>
            <w:r>
              <w:rPr>
                <w:sz w:val="18"/>
              </w:rPr>
              <w:t>R 360,000</w:t>
            </w:r>
          </w:p>
        </w:tc>
        <w:tc>
          <w:tcPr>
            <w:tcW w:type="dxa" w:w="2340"/>
            <w:shd w:fill="FFFFFF"/>
            <w:tcMar>
              <w:top w:w="80" w:type="dxa"/>
              <w:bottom w:w="80" w:type="dxa"/>
              <w:left w:w="150" w:type="dxa"/>
              <w:right w:w="150" w:type="dxa"/>
            </w:tcMar>
          </w:tcPr>
          <w:p>
            <w:r>
              <w:rPr>
                <w:sz w:val="18"/>
              </w:rPr>
              <w:t>R 540,000</w:t>
            </w:r>
          </w:p>
        </w:tc>
      </w:tr>
      <w:tr>
        <w:tc>
          <w:tcPr>
            <w:tcW w:type="dxa" w:w="2340"/>
            <w:shd w:fill="F8FAFC"/>
            <w:tcMar>
              <w:top w:w="80" w:type="dxa"/>
              <w:bottom w:w="80" w:type="dxa"/>
              <w:left w:w="150" w:type="dxa"/>
              <w:right w:w="150" w:type="dxa"/>
            </w:tcMar>
          </w:tcPr>
          <w:p>
            <w:r>
              <w:rPr>
                <w:sz w:val="18"/>
              </w:rPr>
              <w:t xml:space="preserve">  Monthly Retainers (MRR)</w:t>
            </w:r>
          </w:p>
        </w:tc>
        <w:tc>
          <w:tcPr>
            <w:tcW w:type="dxa" w:w="2340"/>
            <w:shd w:fill="F8FAFC"/>
            <w:tcMar>
              <w:top w:w="80" w:type="dxa"/>
              <w:bottom w:w="80" w:type="dxa"/>
              <w:left w:w="150" w:type="dxa"/>
              <w:right w:w="150" w:type="dxa"/>
            </w:tcMar>
          </w:tcPr>
          <w:p>
            <w:r>
              <w:rPr>
                <w:sz w:val="18"/>
              </w:rPr>
              <w:t>R 198,000</w:t>
            </w:r>
          </w:p>
        </w:tc>
        <w:tc>
          <w:tcPr>
            <w:tcW w:type="dxa" w:w="2340"/>
            <w:shd w:fill="F8FAFC"/>
            <w:tcMar>
              <w:top w:w="80" w:type="dxa"/>
              <w:bottom w:w="80" w:type="dxa"/>
              <w:left w:w="150" w:type="dxa"/>
              <w:right w:w="150" w:type="dxa"/>
            </w:tcMar>
          </w:tcPr>
          <w:p>
            <w:r>
              <w:rPr>
                <w:sz w:val="18"/>
              </w:rPr>
              <w:t>R 756,000</w:t>
            </w:r>
          </w:p>
        </w:tc>
        <w:tc>
          <w:tcPr>
            <w:tcW w:type="dxa" w:w="2340"/>
            <w:shd w:fill="F8FAFC"/>
            <w:tcMar>
              <w:top w:w="80" w:type="dxa"/>
              <w:bottom w:w="80" w:type="dxa"/>
              <w:left w:w="150" w:type="dxa"/>
              <w:right w:w="150" w:type="dxa"/>
            </w:tcMar>
          </w:tcPr>
          <w:p>
            <w:r>
              <w:rPr>
                <w:sz w:val="18"/>
              </w:rPr>
              <w:t>R 1,602,000</w:t>
            </w:r>
          </w:p>
        </w:tc>
      </w:tr>
      <w:tr>
        <w:tc>
          <w:tcPr>
            <w:tcW w:type="dxa" w:w="2340"/>
            <w:shd w:fill="F1F5F9"/>
            <w:tcMar>
              <w:top w:w="80" w:type="dxa"/>
              <w:bottom w:w="80" w:type="dxa"/>
              <w:left w:w="150" w:type="dxa"/>
              <w:right w:w="150" w:type="dxa"/>
            </w:tcMar>
          </w:tcPr>
          <w:p>
            <w:r>
              <w:rPr>
                <w:b/>
                <w:color w:val="0F172A"/>
                <w:sz w:val="18"/>
              </w:rPr>
              <w:t>TOTAL GROSS REVENUE</w:t>
            </w:r>
          </w:p>
        </w:tc>
        <w:tc>
          <w:tcPr>
            <w:tcW w:type="dxa" w:w="2340"/>
            <w:shd w:fill="F1F5F9"/>
            <w:tcMar>
              <w:top w:w="80" w:type="dxa"/>
              <w:bottom w:w="80" w:type="dxa"/>
              <w:left w:w="150" w:type="dxa"/>
              <w:right w:w="150" w:type="dxa"/>
            </w:tcMar>
          </w:tcPr>
          <w:p>
            <w:r>
              <w:rPr>
                <w:b/>
                <w:sz w:val="18"/>
              </w:rPr>
              <w:t>R 378,000</w:t>
            </w:r>
          </w:p>
        </w:tc>
        <w:tc>
          <w:tcPr>
            <w:tcW w:type="dxa" w:w="2340"/>
            <w:shd w:fill="F1F5F9"/>
            <w:tcMar>
              <w:top w:w="80" w:type="dxa"/>
              <w:bottom w:w="80" w:type="dxa"/>
              <w:left w:w="150" w:type="dxa"/>
              <w:right w:w="150" w:type="dxa"/>
            </w:tcMar>
          </w:tcPr>
          <w:p>
            <w:r>
              <w:rPr>
                <w:b/>
                <w:sz w:val="18"/>
              </w:rPr>
              <w:t>R 1,116,000</w:t>
            </w:r>
          </w:p>
        </w:tc>
        <w:tc>
          <w:tcPr>
            <w:tcW w:type="dxa" w:w="2340"/>
            <w:shd w:fill="F1F5F9"/>
            <w:tcMar>
              <w:top w:w="80" w:type="dxa"/>
              <w:bottom w:w="80" w:type="dxa"/>
              <w:left w:w="150" w:type="dxa"/>
              <w:right w:w="150" w:type="dxa"/>
            </w:tcMar>
          </w:tcPr>
          <w:p>
            <w:r>
              <w:rPr>
                <w:b/>
                <w:sz w:val="18"/>
              </w:rPr>
              <w:t>R 2,142,000</w:t>
            </w:r>
          </w:p>
        </w:tc>
      </w:tr>
      <w:tr>
        <w:tc>
          <w:tcPr>
            <w:tcW w:type="dxa" w:w="2340"/>
            <w:shd w:fill="F8FAFC"/>
            <w:tcMar>
              <w:top w:w="80" w:type="dxa"/>
              <w:bottom w:w="80" w:type="dxa"/>
              <w:left w:w="150" w:type="dxa"/>
              <w:right w:w="150" w:type="dxa"/>
            </w:tcMar>
          </w:tcPr>
          <w:p>
            <w:r>
              <w:rPr>
                <w:b/>
                <w:sz w:val="18"/>
              </w:rPr>
              <w:t>COST OF GOODS SOLD (COGS)</w:t>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r>
      <w:tr>
        <w:tc>
          <w:tcPr>
            <w:tcW w:type="dxa" w:w="2340"/>
            <w:shd w:fill="FFFFFF"/>
            <w:tcMar>
              <w:top w:w="80" w:type="dxa"/>
              <w:bottom w:w="80" w:type="dxa"/>
              <w:left w:w="150" w:type="dxa"/>
              <w:right w:w="150" w:type="dxa"/>
            </w:tcMar>
          </w:tcPr>
          <w:p>
            <w:r>
              <w:rPr>
                <w:sz w:val="18"/>
              </w:rPr>
              <w:t xml:space="preserve">  Hosting &amp; Server Overhead</w:t>
            </w:r>
          </w:p>
        </w:tc>
        <w:tc>
          <w:tcPr>
            <w:tcW w:type="dxa" w:w="2340"/>
            <w:shd w:fill="FFFFFF"/>
            <w:tcMar>
              <w:top w:w="80" w:type="dxa"/>
              <w:bottom w:w="80" w:type="dxa"/>
              <w:left w:w="150" w:type="dxa"/>
              <w:right w:w="150" w:type="dxa"/>
            </w:tcMar>
          </w:tcPr>
          <w:p>
            <w:r>
              <w:rPr>
                <w:sz w:val="18"/>
              </w:rPr>
              <w:t>R 26,400</w:t>
            </w:r>
          </w:p>
        </w:tc>
        <w:tc>
          <w:tcPr>
            <w:tcW w:type="dxa" w:w="2340"/>
            <w:shd w:fill="FFFFFF"/>
            <w:tcMar>
              <w:top w:w="80" w:type="dxa"/>
              <w:bottom w:w="80" w:type="dxa"/>
              <w:left w:w="150" w:type="dxa"/>
              <w:right w:w="150" w:type="dxa"/>
            </w:tcMar>
          </w:tcPr>
          <w:p>
            <w:r>
              <w:rPr>
                <w:sz w:val="18"/>
              </w:rPr>
              <w:t>R 74,400</w:t>
            </w:r>
          </w:p>
        </w:tc>
        <w:tc>
          <w:tcPr>
            <w:tcW w:type="dxa" w:w="2340"/>
            <w:shd w:fill="FFFFFF"/>
            <w:tcMar>
              <w:top w:w="80" w:type="dxa"/>
              <w:bottom w:w="80" w:type="dxa"/>
              <w:left w:w="150" w:type="dxa"/>
              <w:right w:w="150" w:type="dxa"/>
            </w:tcMar>
          </w:tcPr>
          <w:p>
            <w:r>
              <w:rPr>
                <w:sz w:val="18"/>
              </w:rPr>
              <w:t>R 139,200</w:t>
            </w:r>
          </w:p>
        </w:tc>
      </w:tr>
      <w:tr>
        <w:tc>
          <w:tcPr>
            <w:tcW w:type="dxa" w:w="2340"/>
            <w:shd w:fill="F8FAFC"/>
            <w:tcMar>
              <w:top w:w="80" w:type="dxa"/>
              <w:bottom w:w="80" w:type="dxa"/>
              <w:left w:w="150" w:type="dxa"/>
              <w:right w:w="150" w:type="dxa"/>
            </w:tcMar>
          </w:tcPr>
          <w:p>
            <w:r>
              <w:rPr>
                <w:sz w:val="18"/>
              </w:rPr>
              <w:t xml:space="preserve">  LLM API Tokens (OpenAI)</w:t>
            </w:r>
          </w:p>
        </w:tc>
        <w:tc>
          <w:tcPr>
            <w:tcW w:type="dxa" w:w="2340"/>
            <w:shd w:fill="F8FAFC"/>
            <w:tcMar>
              <w:top w:w="80" w:type="dxa"/>
              <w:bottom w:w="80" w:type="dxa"/>
              <w:left w:w="150" w:type="dxa"/>
              <w:right w:w="150" w:type="dxa"/>
            </w:tcMar>
          </w:tcPr>
          <w:p>
            <w:r>
              <w:rPr>
                <w:sz w:val="18"/>
              </w:rPr>
              <w:t>R 39,600</w:t>
            </w:r>
          </w:p>
        </w:tc>
        <w:tc>
          <w:tcPr>
            <w:tcW w:type="dxa" w:w="2340"/>
            <w:shd w:fill="F8FAFC"/>
            <w:tcMar>
              <w:top w:w="80" w:type="dxa"/>
              <w:bottom w:w="80" w:type="dxa"/>
              <w:left w:w="150" w:type="dxa"/>
              <w:right w:w="150" w:type="dxa"/>
            </w:tcMar>
          </w:tcPr>
          <w:p>
            <w:r>
              <w:rPr>
                <w:sz w:val="18"/>
              </w:rPr>
              <w:t>R 111,600</w:t>
            </w:r>
          </w:p>
        </w:tc>
        <w:tc>
          <w:tcPr>
            <w:tcW w:type="dxa" w:w="2340"/>
            <w:shd w:fill="F8FAFC"/>
            <w:tcMar>
              <w:top w:w="80" w:type="dxa"/>
              <w:bottom w:w="80" w:type="dxa"/>
              <w:left w:w="150" w:type="dxa"/>
              <w:right w:w="150" w:type="dxa"/>
            </w:tcMar>
          </w:tcPr>
          <w:p>
            <w:r>
              <w:rPr>
                <w:sz w:val="18"/>
              </w:rPr>
              <w:t>R 208,800</w:t>
            </w:r>
          </w:p>
        </w:tc>
      </w:tr>
      <w:tr>
        <w:tc>
          <w:tcPr>
            <w:tcW w:type="dxa" w:w="2340"/>
            <w:shd w:fill="F1F5F9"/>
            <w:tcMar>
              <w:top w:w="80" w:type="dxa"/>
              <w:bottom w:w="80" w:type="dxa"/>
              <w:left w:w="150" w:type="dxa"/>
              <w:right w:w="150" w:type="dxa"/>
            </w:tcMar>
          </w:tcPr>
          <w:p>
            <w:r>
              <w:rPr>
                <w:b/>
                <w:color w:val="0F172A"/>
                <w:sz w:val="18"/>
              </w:rPr>
              <w:t>TOTAL COGS</w:t>
            </w:r>
          </w:p>
        </w:tc>
        <w:tc>
          <w:tcPr>
            <w:tcW w:type="dxa" w:w="2340"/>
            <w:shd w:fill="F1F5F9"/>
            <w:tcMar>
              <w:top w:w="80" w:type="dxa"/>
              <w:bottom w:w="80" w:type="dxa"/>
              <w:left w:w="150" w:type="dxa"/>
              <w:right w:w="150" w:type="dxa"/>
            </w:tcMar>
          </w:tcPr>
          <w:p>
            <w:r>
              <w:rPr>
                <w:b/>
                <w:sz w:val="18"/>
              </w:rPr>
              <w:t>R 66,000</w:t>
            </w:r>
          </w:p>
        </w:tc>
        <w:tc>
          <w:tcPr>
            <w:tcW w:type="dxa" w:w="2340"/>
            <w:shd w:fill="F1F5F9"/>
            <w:tcMar>
              <w:top w:w="80" w:type="dxa"/>
              <w:bottom w:w="80" w:type="dxa"/>
              <w:left w:w="150" w:type="dxa"/>
              <w:right w:w="150" w:type="dxa"/>
            </w:tcMar>
          </w:tcPr>
          <w:p>
            <w:r>
              <w:rPr>
                <w:b/>
                <w:sz w:val="18"/>
              </w:rPr>
              <w:t>R 186,000</w:t>
            </w:r>
          </w:p>
        </w:tc>
        <w:tc>
          <w:tcPr>
            <w:tcW w:type="dxa" w:w="2340"/>
            <w:shd w:fill="F1F5F9"/>
            <w:tcMar>
              <w:top w:w="80" w:type="dxa"/>
              <w:bottom w:w="80" w:type="dxa"/>
              <w:left w:w="150" w:type="dxa"/>
              <w:right w:w="150" w:type="dxa"/>
            </w:tcMar>
          </w:tcPr>
          <w:p>
            <w:r>
              <w:rPr>
                <w:b/>
                <w:sz w:val="18"/>
              </w:rPr>
              <w:t>R 348,000</w:t>
            </w:r>
          </w:p>
        </w:tc>
      </w:tr>
      <w:tr>
        <w:tc>
          <w:tcPr>
            <w:tcW w:type="dxa" w:w="2340"/>
            <w:shd w:fill="F1F5F9"/>
            <w:tcMar>
              <w:top w:w="80" w:type="dxa"/>
              <w:bottom w:w="80" w:type="dxa"/>
              <w:left w:w="150" w:type="dxa"/>
              <w:right w:w="150" w:type="dxa"/>
            </w:tcMar>
          </w:tcPr>
          <w:p>
            <w:r>
              <w:rPr>
                <w:b/>
                <w:color w:val="0F172A"/>
                <w:sz w:val="18"/>
              </w:rPr>
              <w:t>GROSS PROFIT</w:t>
            </w:r>
          </w:p>
        </w:tc>
        <w:tc>
          <w:tcPr>
            <w:tcW w:type="dxa" w:w="2340"/>
            <w:shd w:fill="F1F5F9"/>
            <w:tcMar>
              <w:top w:w="80" w:type="dxa"/>
              <w:bottom w:w="80" w:type="dxa"/>
              <w:left w:w="150" w:type="dxa"/>
              <w:right w:w="150" w:type="dxa"/>
            </w:tcMar>
          </w:tcPr>
          <w:p>
            <w:r>
              <w:rPr>
                <w:b/>
                <w:sz w:val="18"/>
              </w:rPr>
              <w:t>R 312,000</w:t>
            </w:r>
          </w:p>
        </w:tc>
        <w:tc>
          <w:tcPr>
            <w:tcW w:type="dxa" w:w="2340"/>
            <w:shd w:fill="F1F5F9"/>
            <w:tcMar>
              <w:top w:w="80" w:type="dxa"/>
              <w:bottom w:w="80" w:type="dxa"/>
              <w:left w:w="150" w:type="dxa"/>
              <w:right w:w="150" w:type="dxa"/>
            </w:tcMar>
          </w:tcPr>
          <w:p>
            <w:r>
              <w:rPr>
                <w:b/>
                <w:sz w:val="18"/>
              </w:rPr>
              <w:t>R 930,000</w:t>
            </w:r>
          </w:p>
        </w:tc>
        <w:tc>
          <w:tcPr>
            <w:tcW w:type="dxa" w:w="2340"/>
            <w:shd w:fill="F1F5F9"/>
            <w:tcMar>
              <w:top w:w="80" w:type="dxa"/>
              <w:bottom w:w="80" w:type="dxa"/>
              <w:left w:w="150" w:type="dxa"/>
              <w:right w:w="150" w:type="dxa"/>
            </w:tcMar>
          </w:tcPr>
          <w:p>
            <w:r>
              <w:rPr>
                <w:b/>
                <w:sz w:val="18"/>
              </w:rPr>
              <w:t>R 1,794,000</w:t>
            </w:r>
          </w:p>
        </w:tc>
      </w:tr>
      <w:tr>
        <w:tc>
          <w:tcPr>
            <w:tcW w:type="dxa" w:w="2340"/>
            <w:shd w:fill="FFFFFF"/>
            <w:tcMar>
              <w:top w:w="80" w:type="dxa"/>
              <w:bottom w:w="80" w:type="dxa"/>
              <w:left w:w="150" w:type="dxa"/>
              <w:right w:w="150" w:type="dxa"/>
            </w:tcMar>
          </w:tcPr>
          <w:p>
            <w:r>
              <w:rPr>
                <w:sz w:val="18"/>
              </w:rPr>
              <w:t>Gross Margin %</w:t>
            </w:r>
          </w:p>
        </w:tc>
        <w:tc>
          <w:tcPr>
            <w:tcW w:type="dxa" w:w="2340"/>
            <w:shd w:fill="FFFFFF"/>
            <w:tcMar>
              <w:top w:w="80" w:type="dxa"/>
              <w:bottom w:w="80" w:type="dxa"/>
              <w:left w:w="150" w:type="dxa"/>
              <w:right w:w="150" w:type="dxa"/>
            </w:tcMar>
          </w:tcPr>
          <w:p>
            <w:r>
              <w:rPr>
                <w:sz w:val="18"/>
              </w:rPr>
              <w:t>82.5%</w:t>
            </w:r>
          </w:p>
        </w:tc>
        <w:tc>
          <w:tcPr>
            <w:tcW w:type="dxa" w:w="2340"/>
            <w:shd w:fill="FFFFFF"/>
            <w:tcMar>
              <w:top w:w="80" w:type="dxa"/>
              <w:bottom w:w="80" w:type="dxa"/>
              <w:left w:w="150" w:type="dxa"/>
              <w:right w:w="150" w:type="dxa"/>
            </w:tcMar>
          </w:tcPr>
          <w:p>
            <w:r>
              <w:rPr>
                <w:sz w:val="18"/>
              </w:rPr>
              <w:t>83.3%</w:t>
            </w:r>
          </w:p>
        </w:tc>
        <w:tc>
          <w:tcPr>
            <w:tcW w:type="dxa" w:w="2340"/>
            <w:shd w:fill="FFFFFF"/>
            <w:tcMar>
              <w:top w:w="80" w:type="dxa"/>
              <w:bottom w:w="80" w:type="dxa"/>
              <w:left w:w="150" w:type="dxa"/>
              <w:right w:w="150" w:type="dxa"/>
            </w:tcMar>
          </w:tcPr>
          <w:p>
            <w:r>
              <w:rPr>
                <w:sz w:val="18"/>
              </w:rPr>
              <w:t>83.7%</w:t>
            </w:r>
          </w:p>
        </w:tc>
      </w:tr>
      <w:tr>
        <w:tc>
          <w:tcPr>
            <w:tcW w:type="dxa" w:w="2340"/>
            <w:shd w:fill="F8FAFC"/>
            <w:tcMar>
              <w:top w:w="80" w:type="dxa"/>
              <w:bottom w:w="80" w:type="dxa"/>
              <w:left w:w="150" w:type="dxa"/>
              <w:right w:w="150" w:type="dxa"/>
            </w:tcMar>
          </w:tcPr>
          <w:p>
            <w:r>
              <w:rPr>
                <w:b/>
                <w:sz w:val="18"/>
              </w:rPr>
              <w:t>OPERATING EXPENSES (OpEx)</w:t>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c>
          <w:tcPr>
            <w:tcW w:type="dxa" w:w="2340"/>
            <w:shd w:fill="F8FAFC"/>
            <w:tcMar>
              <w:top w:w="80" w:type="dxa"/>
              <w:bottom w:w="80" w:type="dxa"/>
              <w:left w:w="150" w:type="dxa"/>
              <w:right w:w="150" w:type="dxa"/>
            </w:tcMar>
          </w:tcPr>
          <w:p>
            <w:r>
              <w:rPr>
                <w:b/>
                <w:sz w:val="18"/>
              </w:rPr>
            </w:r>
          </w:p>
        </w:tc>
      </w:tr>
      <w:tr>
        <w:tc>
          <w:tcPr>
            <w:tcW w:type="dxa" w:w="2340"/>
            <w:shd w:fill="FFFFFF"/>
            <w:tcMar>
              <w:top w:w="80" w:type="dxa"/>
              <w:bottom w:w="80" w:type="dxa"/>
              <w:left w:w="150" w:type="dxa"/>
              <w:right w:w="150" w:type="dxa"/>
            </w:tcMar>
          </w:tcPr>
          <w:p>
            <w:r>
              <w:rPr>
                <w:sz w:val="18"/>
              </w:rPr>
              <w:t xml:space="preserve">  Software &amp; Operational Tools</w:t>
            </w:r>
          </w:p>
        </w:tc>
        <w:tc>
          <w:tcPr>
            <w:tcW w:type="dxa" w:w="2340"/>
            <w:shd w:fill="FFFFFF"/>
            <w:tcMar>
              <w:top w:w="80" w:type="dxa"/>
              <w:bottom w:w="80" w:type="dxa"/>
              <w:left w:w="150" w:type="dxa"/>
              <w:right w:w="150" w:type="dxa"/>
            </w:tcMar>
          </w:tcPr>
          <w:p>
            <w:r>
              <w:rPr>
                <w:sz w:val="18"/>
              </w:rPr>
              <w:t>R 54,000</w:t>
            </w:r>
          </w:p>
        </w:tc>
        <w:tc>
          <w:tcPr>
            <w:tcW w:type="dxa" w:w="2340"/>
            <w:shd w:fill="FFFFFF"/>
            <w:tcMar>
              <w:top w:w="80" w:type="dxa"/>
              <w:bottom w:w="80" w:type="dxa"/>
              <w:left w:w="150" w:type="dxa"/>
              <w:right w:w="150" w:type="dxa"/>
            </w:tcMar>
          </w:tcPr>
          <w:p>
            <w:r>
              <w:rPr>
                <w:sz w:val="18"/>
              </w:rPr>
              <w:t>R 108,000</w:t>
            </w:r>
          </w:p>
        </w:tc>
        <w:tc>
          <w:tcPr>
            <w:tcW w:type="dxa" w:w="2340"/>
            <w:shd w:fill="FFFFFF"/>
            <w:tcMar>
              <w:top w:w="80" w:type="dxa"/>
              <w:bottom w:w="80" w:type="dxa"/>
              <w:left w:w="150" w:type="dxa"/>
              <w:right w:w="150" w:type="dxa"/>
            </w:tcMar>
          </w:tcPr>
          <w:p>
            <w:r>
              <w:rPr>
                <w:sz w:val="18"/>
              </w:rPr>
              <w:t>R 189,000</w:t>
            </w:r>
          </w:p>
        </w:tc>
      </w:tr>
      <w:tr>
        <w:tc>
          <w:tcPr>
            <w:tcW w:type="dxa" w:w="2340"/>
            <w:shd w:fill="F8FAFC"/>
            <w:tcMar>
              <w:top w:w="80" w:type="dxa"/>
              <w:bottom w:w="80" w:type="dxa"/>
              <w:left w:w="150" w:type="dxa"/>
              <w:right w:w="150" w:type="dxa"/>
            </w:tcMar>
          </w:tcPr>
          <w:p>
            <w:r>
              <w:rPr>
                <w:sz w:val="18"/>
              </w:rPr>
              <w:t xml:space="preserve">  Founder Draw / Salaries</w:t>
            </w:r>
          </w:p>
        </w:tc>
        <w:tc>
          <w:tcPr>
            <w:tcW w:type="dxa" w:w="2340"/>
            <w:shd w:fill="F8FAFC"/>
            <w:tcMar>
              <w:top w:w="80" w:type="dxa"/>
              <w:bottom w:w="80" w:type="dxa"/>
              <w:left w:w="150" w:type="dxa"/>
              <w:right w:w="150" w:type="dxa"/>
            </w:tcMar>
          </w:tcPr>
          <w:p>
            <w:r>
              <w:rPr>
                <w:sz w:val="18"/>
              </w:rPr>
              <w:t>R 120,000</w:t>
            </w:r>
          </w:p>
        </w:tc>
        <w:tc>
          <w:tcPr>
            <w:tcW w:type="dxa" w:w="2340"/>
            <w:shd w:fill="F8FAFC"/>
            <w:tcMar>
              <w:top w:w="80" w:type="dxa"/>
              <w:bottom w:w="80" w:type="dxa"/>
              <w:left w:w="150" w:type="dxa"/>
              <w:right w:w="150" w:type="dxa"/>
            </w:tcMar>
          </w:tcPr>
          <w:p>
            <w:r>
              <w:rPr>
                <w:sz w:val="18"/>
              </w:rPr>
              <w:t>R 360,000</w:t>
            </w:r>
          </w:p>
        </w:tc>
        <w:tc>
          <w:tcPr>
            <w:tcW w:type="dxa" w:w="2340"/>
            <w:shd w:fill="F8FAFC"/>
            <w:tcMar>
              <w:top w:w="80" w:type="dxa"/>
              <w:bottom w:w="80" w:type="dxa"/>
              <w:left w:w="150" w:type="dxa"/>
              <w:right w:w="150" w:type="dxa"/>
            </w:tcMar>
          </w:tcPr>
          <w:p>
            <w:r>
              <w:rPr>
                <w:sz w:val="18"/>
              </w:rPr>
              <w:t>R 720,000</w:t>
            </w:r>
          </w:p>
        </w:tc>
      </w:tr>
      <w:tr>
        <w:tc>
          <w:tcPr>
            <w:tcW w:type="dxa" w:w="2340"/>
            <w:shd w:fill="F1F5F9"/>
            <w:tcMar>
              <w:top w:w="80" w:type="dxa"/>
              <w:bottom w:w="80" w:type="dxa"/>
              <w:left w:w="150" w:type="dxa"/>
              <w:right w:w="150" w:type="dxa"/>
            </w:tcMar>
          </w:tcPr>
          <w:p>
            <w:r>
              <w:rPr>
                <w:b/>
                <w:color w:val="0F172A"/>
                <w:sz w:val="18"/>
              </w:rPr>
              <w:t>NET PROFIT BEFORE TAX (EBIT)</w:t>
            </w:r>
          </w:p>
        </w:tc>
        <w:tc>
          <w:tcPr>
            <w:tcW w:type="dxa" w:w="2340"/>
            <w:shd w:fill="F1F5F9"/>
            <w:tcMar>
              <w:top w:w="80" w:type="dxa"/>
              <w:bottom w:w="80" w:type="dxa"/>
              <w:left w:w="150" w:type="dxa"/>
              <w:right w:w="150" w:type="dxa"/>
            </w:tcMar>
          </w:tcPr>
          <w:p>
            <w:r>
              <w:rPr>
                <w:b/>
                <w:sz w:val="18"/>
              </w:rPr>
              <w:t>R 138,000</w:t>
            </w:r>
          </w:p>
        </w:tc>
        <w:tc>
          <w:tcPr>
            <w:tcW w:type="dxa" w:w="2340"/>
            <w:shd w:fill="F1F5F9"/>
            <w:tcMar>
              <w:top w:w="80" w:type="dxa"/>
              <w:bottom w:w="80" w:type="dxa"/>
              <w:left w:w="150" w:type="dxa"/>
              <w:right w:w="150" w:type="dxa"/>
            </w:tcMar>
          </w:tcPr>
          <w:p>
            <w:r>
              <w:rPr>
                <w:b/>
                <w:sz w:val="18"/>
              </w:rPr>
              <w:t>R 462,000</w:t>
            </w:r>
          </w:p>
        </w:tc>
        <w:tc>
          <w:tcPr>
            <w:tcW w:type="dxa" w:w="2340"/>
            <w:shd w:fill="F1F5F9"/>
            <w:tcMar>
              <w:top w:w="80" w:type="dxa"/>
              <w:bottom w:w="80" w:type="dxa"/>
              <w:left w:w="150" w:type="dxa"/>
              <w:right w:w="150" w:type="dxa"/>
            </w:tcMar>
          </w:tcPr>
          <w:p>
            <w:r>
              <w:rPr>
                <w:b/>
                <w:sz w:val="18"/>
              </w:rPr>
              <w:t>R 885,000</w:t>
            </w:r>
          </w:p>
        </w:tc>
      </w:tr>
    </w:tbl>
    <w:p>
      <w:pPr>
        <w:spacing w:after="120"/>
      </w:pPr>
    </w:p>
    <w:p>
      <w:pPr>
        <w:keepNext/>
        <w:spacing w:before="360" w:after="120"/>
      </w:pPr>
      <w:r>
        <w:rPr>
          <w:rFonts w:ascii="Calibri Light" w:hAnsi="Calibri Light"/>
          <w:b/>
          <w:color w:val="0F172A"/>
          <w:sz w:val="36"/>
        </w:rPr>
        <w:t>6. Risk Analysis &amp; Mitigation Matrix</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3120"/>
            <w:shd w:fill="0F172A"/>
            <w:tcMar>
              <w:top w:w="120" w:type="dxa"/>
              <w:bottom w:w="120" w:type="dxa"/>
              <w:left w:w="150" w:type="dxa"/>
              <w:right w:w="150" w:type="dxa"/>
            </w:tcMar>
          </w:tcPr>
          <w:p>
            <w:r>
              <w:rPr>
                <w:b/>
                <w:color w:val="FFFFFF"/>
                <w:sz w:val="20"/>
              </w:rPr>
              <w:t>Identified Risk Factor</w:t>
            </w:r>
          </w:p>
        </w:tc>
        <w:tc>
          <w:tcPr>
            <w:tcW w:type="dxa" w:w="3120"/>
            <w:shd w:fill="0F172A"/>
            <w:tcMar>
              <w:top w:w="120" w:type="dxa"/>
              <w:bottom w:w="120" w:type="dxa"/>
              <w:left w:w="150" w:type="dxa"/>
              <w:right w:w="150" w:type="dxa"/>
            </w:tcMar>
          </w:tcPr>
          <w:p>
            <w:r>
              <w:rPr>
                <w:b/>
                <w:color w:val="FFFFFF"/>
                <w:sz w:val="20"/>
              </w:rPr>
              <w:t>Impact</w:t>
            </w:r>
          </w:p>
        </w:tc>
        <w:tc>
          <w:tcPr>
            <w:tcW w:type="dxa" w:w="3120"/>
            <w:shd w:fill="0F172A"/>
            <w:tcMar>
              <w:top w:w="120" w:type="dxa"/>
              <w:bottom w:w="120" w:type="dxa"/>
              <w:left w:w="150" w:type="dxa"/>
              <w:right w:w="150" w:type="dxa"/>
            </w:tcMar>
          </w:tcPr>
          <w:p>
            <w:r>
              <w:rPr>
                <w:b/>
                <w:color w:val="FFFFFF"/>
                <w:sz w:val="20"/>
              </w:rPr>
              <w:t>Proactive Mitigation Strategy</w:t>
            </w:r>
          </w:p>
        </w:tc>
      </w:tr>
      <w:tr>
        <w:tc>
          <w:tcPr>
            <w:tcW w:type="dxa" w:w="3120"/>
            <w:shd w:fill="F8FAFC"/>
            <w:tcMar>
              <w:top w:w="100" w:type="dxa"/>
              <w:bottom w:w="100" w:type="dxa"/>
              <w:left w:w="150" w:type="dxa"/>
              <w:right w:w="150" w:type="dxa"/>
            </w:tcMar>
          </w:tcPr>
          <w:p>
            <w:r>
              <w:rPr>
                <w:b/>
                <w:sz w:val="19"/>
              </w:rPr>
              <w:t>Meta API Policy Changes</w:t>
            </w:r>
          </w:p>
        </w:tc>
        <w:tc>
          <w:tcPr>
            <w:tcW w:type="dxa" w:w="3120"/>
            <w:shd w:fill="F8FAFC"/>
            <w:tcMar>
              <w:top w:w="100" w:type="dxa"/>
              <w:bottom w:w="100" w:type="dxa"/>
              <w:left w:w="150" w:type="dxa"/>
              <w:right w:w="150" w:type="dxa"/>
            </w:tcMar>
          </w:tcPr>
          <w:p>
            <w:r>
              <w:rPr>
                <w:sz w:val="19"/>
              </w:rPr>
              <w:t>High</w:t>
            </w:r>
          </w:p>
        </w:tc>
        <w:tc>
          <w:tcPr>
            <w:tcW w:type="dxa" w:w="3120"/>
            <w:shd w:fill="F8FAFC"/>
            <w:tcMar>
              <w:top w:w="100" w:type="dxa"/>
              <w:bottom w:w="100" w:type="dxa"/>
              <w:left w:w="150" w:type="dxa"/>
              <w:right w:w="150" w:type="dxa"/>
            </w:tcMar>
          </w:tcPr>
          <w:p>
            <w:r>
              <w:rPr>
                <w:sz w:val="19"/>
              </w:rPr>
              <w:t>Build multi-channel adapters (Web Chat, Telegram) using the same core Supabase backend to eliminate platform lock-in.</w:t>
            </w:r>
          </w:p>
        </w:tc>
      </w:tr>
      <w:tr>
        <w:tc>
          <w:tcPr>
            <w:tcW w:type="dxa" w:w="3120"/>
            <w:shd w:fill="FFFFFF"/>
            <w:tcMar>
              <w:top w:w="100" w:type="dxa"/>
              <w:bottom w:w="100" w:type="dxa"/>
              <w:left w:w="150" w:type="dxa"/>
              <w:right w:w="150" w:type="dxa"/>
            </w:tcMar>
          </w:tcPr>
          <w:p>
            <w:r>
              <w:rPr>
                <w:b/>
                <w:sz w:val="19"/>
              </w:rPr>
              <w:t>LLM 'Hallucinations' (Wrong Pricing)</w:t>
            </w:r>
          </w:p>
        </w:tc>
        <w:tc>
          <w:tcPr>
            <w:tcW w:type="dxa" w:w="3120"/>
            <w:shd w:fill="FFFFFF"/>
            <w:tcMar>
              <w:top w:w="100" w:type="dxa"/>
              <w:bottom w:w="100" w:type="dxa"/>
              <w:left w:w="150" w:type="dxa"/>
              <w:right w:w="150" w:type="dxa"/>
            </w:tcMar>
          </w:tcPr>
          <w:p>
            <w:r>
              <w:rPr>
                <w:sz w:val="19"/>
              </w:rPr>
              <w:t>High</w:t>
            </w:r>
          </w:p>
        </w:tc>
        <w:tc>
          <w:tcPr>
            <w:tcW w:type="dxa" w:w="3120"/>
            <w:shd w:fill="FFFFFF"/>
            <w:tcMar>
              <w:top w:w="100" w:type="dxa"/>
              <w:bottom w:w="100" w:type="dxa"/>
              <w:left w:w="150" w:type="dxa"/>
              <w:right w:w="150" w:type="dxa"/>
            </w:tcMar>
          </w:tcPr>
          <w:p>
            <w:r>
              <w:rPr>
                <w:sz w:val="19"/>
              </w:rPr>
              <w:t>Implement strict JSON payload validations. The AI is only permitted to output part prices directly returned by the Supabase database.</w:t>
            </w:r>
          </w:p>
        </w:tc>
      </w:tr>
      <w:tr>
        <w:tc>
          <w:tcPr>
            <w:tcW w:type="dxa" w:w="3120"/>
            <w:shd w:fill="F8FAFC"/>
            <w:tcMar>
              <w:top w:w="100" w:type="dxa"/>
              <w:bottom w:w="100" w:type="dxa"/>
              <w:left w:w="150" w:type="dxa"/>
              <w:right w:w="150" w:type="dxa"/>
            </w:tcMar>
          </w:tcPr>
          <w:p>
            <w:r>
              <w:rPr>
                <w:b/>
                <w:sz w:val="19"/>
              </w:rPr>
              <w:t>Client Churn Due to Staff Neglect</w:t>
            </w:r>
          </w:p>
        </w:tc>
        <w:tc>
          <w:tcPr>
            <w:tcW w:type="dxa" w:w="3120"/>
            <w:shd w:fill="F8FAFC"/>
            <w:tcMar>
              <w:top w:w="100" w:type="dxa"/>
              <w:bottom w:w="100" w:type="dxa"/>
              <w:left w:w="150" w:type="dxa"/>
              <w:right w:w="150" w:type="dxa"/>
            </w:tcMar>
          </w:tcPr>
          <w:p>
            <w:r>
              <w:rPr>
                <w:sz w:val="19"/>
              </w:rPr>
              <w:t>Medium</w:t>
            </w:r>
          </w:p>
        </w:tc>
        <w:tc>
          <w:tcPr>
            <w:tcW w:type="dxa" w:w="3120"/>
            <w:shd w:fill="F8FAFC"/>
            <w:tcMar>
              <w:top w:w="100" w:type="dxa"/>
              <w:bottom w:w="100" w:type="dxa"/>
              <w:left w:w="150" w:type="dxa"/>
              <w:right w:w="150" w:type="dxa"/>
            </w:tcMar>
          </w:tcPr>
          <w:p>
            <w:r>
              <w:rPr>
                <w:sz w:val="19"/>
              </w:rPr>
              <w:t>Include automated weekly WhatsApp performance digest reports sent directly to the business owner highlighting leads captured and revenue generated.</w:t>
            </w:r>
          </w:p>
        </w:tc>
      </w:tr>
    </w:tbl>
    <w:p>
      <w:pPr>
        <w:spacing w:after="120"/>
      </w:pPr>
    </w:p>
    <w:p>
      <w:pPr>
        <w:keepNext/>
        <w:spacing w:before="360" w:after="120"/>
      </w:pPr>
      <w:r>
        <w:rPr>
          <w:rFonts w:ascii="Calibri Light" w:hAnsi="Calibri Light"/>
          <w:b/>
          <w:color w:val="0F172A"/>
          <w:sz w:val="36"/>
        </w:rPr>
        <w:t>7. Strategic Growth &amp; Exit Roadmap</w:t>
      </w:r>
    </w:p>
    <w:p>
      <w:pPr>
        <w:pStyle w:val="ListBullet"/>
        <w:spacing w:before="0" w:after="80" w:line="276" w:lineRule="auto"/>
      </w:pPr>
      <w:r>
        <w:rPr>
          <w:b/>
          <w:color w:val="0F172A"/>
        </w:rPr>
        <w:t xml:space="preserve">Year 1 (Productization &amp; Niche Domination): </w:t>
      </w:r>
      <w:r>
        <w:t>Target 22 active clients in Automotive &amp; Spares. Prove unit economics and refine automated setup SOPs.</w:t>
      </w:r>
    </w:p>
    <w:p>
      <w:pPr>
        <w:pStyle w:val="ListBullet"/>
        <w:spacing w:before="0" w:after="80" w:line="276" w:lineRule="auto"/>
      </w:pPr>
      <w:r>
        <w:rPr>
          <w:b/>
          <w:color w:val="0F172A"/>
        </w:rPr>
        <w:t xml:space="preserve">Year 2 (Segment Expansion): </w:t>
      </w:r>
      <w:r>
        <w:t>Scale to 62 clients by expanding into Healthcare &amp; Trades. Partner with local POS and inventory software vendors.</w:t>
      </w:r>
    </w:p>
    <w:p>
      <w:pPr>
        <w:pStyle w:val="ListBullet"/>
        <w:spacing w:before="0" w:after="80" w:line="276" w:lineRule="auto"/>
      </w:pPr>
      <w:r>
        <w:rPr>
          <w:b/>
          <w:color w:val="0F172A"/>
        </w:rPr>
        <w:t xml:space="preserve">Year 3 (Platform Automation &amp; Exit Prep): </w:t>
      </w:r>
      <w:r>
        <w:t>Reach 116 active retainers (R1.6M+ ARR). Package IP, client contracts, and codebases for acquisition by a regional SaaS group or marketing agency.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