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 Light" w:hAnsi="Calibri Light"/>
          <w:b/>
          <w:color w:val="0F172A"/>
          <w:sz w:val="48"/>
        </w:rPr>
        <w:t>SMART SOLUTIONS (PTY) LTD</w:t>
      </w:r>
    </w:p>
    <w:p>
      <w:pPr>
        <w:spacing w:before="0" w:after="400"/>
        <w:jc w:val="left"/>
      </w:pPr>
      <w:r>
        <w:rPr>
          <w:rFonts w:ascii="Calibri" w:hAnsi="Calibri"/>
          <w:color w:val="0E7490"/>
          <w:sz w:val="26"/>
        </w:rPr>
        <w:t>Master Founding Document &amp; Corporate Charter</w:t>
      </w:r>
    </w:p>
    <w:p>
      <w:pPr>
        <w:keepNext/>
        <w:spacing w:before="360" w:after="120"/>
      </w:pPr>
      <w:r>
        <w:rPr>
          <w:rFonts w:ascii="Calibri Light" w:hAnsi="Calibri Light"/>
          <w:b/>
          <w:color w:val="0F172A"/>
          <w:sz w:val="32"/>
        </w:rPr>
        <w:t>Section 1: Corporate Identity &amp; Governance</w:t>
      </w:r>
    </w:p>
    <w:p>
      <w:pPr>
        <w:pStyle w:val="ListBullet"/>
        <w:spacing w:before="0" w:after="80" w:line="276" w:lineRule="auto"/>
      </w:pPr>
      <w:r>
        <w:rPr>
          <w:b/>
          <w:color w:val="0F172A"/>
        </w:rPr>
        <w:t xml:space="preserve">Company Legal Name: </w:t>
      </w:r>
      <w:r>
        <w:t>Smart Solutions (Pty) Ltd</w:t>
      </w:r>
    </w:p>
    <w:p>
      <w:pPr>
        <w:pStyle w:val="ListBullet"/>
        <w:spacing w:before="0" w:after="80" w:line="276" w:lineRule="auto"/>
      </w:pPr>
      <w:r>
        <w:rPr>
          <w:b/>
          <w:color w:val="0F172A"/>
        </w:rPr>
        <w:t xml:space="preserve">Founding Principal / Director: </w:t>
      </w:r>
      <w:r>
        <w:t>Lesedi Mofokeng</w:t>
      </w:r>
    </w:p>
    <w:p>
      <w:pPr>
        <w:pStyle w:val="ListBullet"/>
        <w:spacing w:before="0" w:after="80" w:line="276" w:lineRule="auto"/>
      </w:pPr>
      <w:r>
        <w:rPr>
          <w:b/>
          <w:color w:val="0F172A"/>
        </w:rPr>
        <w:t xml:space="preserve">Registered Principal Location: </w:t>
      </w:r>
      <w:r>
        <w:t>Villa Liza, South Africa</w:t>
      </w:r>
    </w:p>
    <w:p>
      <w:pPr>
        <w:pStyle w:val="ListBullet"/>
        <w:spacing w:before="0" w:after="80" w:line="276" w:lineRule="auto"/>
      </w:pPr>
      <w:r>
        <w:rPr>
          <w:b/>
          <w:color w:val="0F172A"/>
        </w:rPr>
        <w:t xml:space="preserve">Corporate Entity Classification: </w:t>
      </w:r>
      <w:r>
        <w:t>Private Company (South Africa, regulated via CIPC standards)</w:t>
      </w:r>
    </w:p>
    <w:p>
      <w:pPr>
        <w:pStyle w:val="ListBullet"/>
        <w:spacing w:before="0" w:after="80" w:line="276" w:lineRule="auto"/>
      </w:pPr>
      <w:r>
        <w:rPr>
          <w:b/>
          <w:color w:val="0F172A"/>
        </w:rPr>
        <w:t xml:space="preserve">Primary Core Focus: </w:t>
      </w:r>
      <w:r>
        <w:t>B2B Conversational AI Infrastructure, WhatsApp Automated Sales Workflows, and Transactional Bot Integration for Small-to-Medium Enterprises (SMEs).</w:t>
      </w:r>
    </w:p>
    <w:p>
      <w:pPr>
        <w:spacing w:after="80"/>
      </w:pPr>
    </w:p>
    <w:p>
      <w:pPr>
        <w:keepNext/>
        <w:spacing w:before="360" w:after="120"/>
      </w:pPr>
      <w:r>
        <w:rPr>
          <w:rFonts w:ascii="Calibri Light" w:hAnsi="Calibri Light"/>
          <w:b/>
          <w:color w:val="0F172A"/>
          <w:sz w:val="32"/>
        </w:rPr>
        <w:t>Section 2: Mission Statement &amp; Core Objectives</w:t>
      </w:r>
    </w:p>
    <w:p>
      <w:pPr>
        <w:spacing w:before="0" w:after="120" w:line="276" w:lineRule="auto"/>
      </w:pPr>
      <w:r>
        <w:rPr>
          <w:b/>
          <w:color w:val="0F172A"/>
        </w:rPr>
        <w:t xml:space="preserve">Mission Statement: </w:t>
      </w:r>
      <w:r>
        <w:t>To empower African small and medium enterprises with enterprise-grade, high-conversion WhatsApp automation engines that eliminate administrative friction, capture lost leads instantly, and drive recurring revenue through frictionless in-chat transactions.</w:t>
      </w:r>
    </w:p>
    <w:p>
      <w:pPr>
        <w:spacing w:before="0" w:after="120" w:line="276" w:lineRule="auto"/>
      </w:pPr>
      <w:r>
        <w:t>Foundational Objectives:</w:t>
      </w:r>
    </w:p>
    <w:p>
      <w:pPr>
        <w:pStyle w:val="ListBullet"/>
        <w:spacing w:before="0" w:after="80" w:line="276" w:lineRule="auto"/>
      </w:pPr>
      <w:r>
        <w:rPr>
          <w:b/>
          <w:color w:val="0F172A"/>
        </w:rPr>
        <w:t xml:space="preserve">1. Low Starting Capital, High Margin Model: </w:t>
      </w:r>
      <w:r>
        <w:t>Operate a lean, serverless software framework engineered for high net margins (70%–85%) with negligible physical overhead.</w:t>
      </w:r>
    </w:p>
    <w:p>
      <w:pPr>
        <w:pStyle w:val="ListBullet"/>
        <w:spacing w:before="0" w:after="80" w:line="276" w:lineRule="auto"/>
      </w:pPr>
      <w:r>
        <w:rPr>
          <w:b/>
          <w:color w:val="0F172A"/>
        </w:rPr>
        <w:t xml:space="preserve">2. Scalable Niche Domination: </w:t>
      </w:r>
      <w:r>
        <w:t>Initial focus on high-inquiry sectors (specifically Auto Spares, Tyres, and Automotive Services) before horizontal expansion into medical practices and professional trade services.</w:t>
      </w:r>
    </w:p>
    <w:p>
      <w:pPr>
        <w:pStyle w:val="ListBullet"/>
        <w:spacing w:before="0" w:after="80" w:line="276" w:lineRule="auto"/>
      </w:pPr>
      <w:r>
        <w:rPr>
          <w:b/>
          <w:color w:val="0F172A"/>
        </w:rPr>
        <w:t xml:space="preserve">3. Acquisition Readiness: </w:t>
      </w:r>
      <w:r>
        <w:t>Maintain clean codebases, transparent intellectual property documentation, and decoupled architectural layers to enable a seamless corporate acquisition or buyout within a 3-to-5-year horizon.</w:t>
      </w:r>
    </w:p>
    <w:p>
      <w:pPr>
        <w:spacing w:after="80"/>
      </w:pPr>
    </w:p>
    <w:p>
      <w:pPr>
        <w:keepNext/>
        <w:spacing w:before="360" w:after="120"/>
      </w:pPr>
      <w:r>
        <w:rPr>
          <w:rFonts w:ascii="Calibri Light" w:hAnsi="Calibri Light"/>
          <w:b/>
          <w:color w:val="0F172A"/>
          <w:sz w:val="32"/>
        </w:rPr>
        <w:t>Section 3: Intellectual Property (IP) &amp; Proprietary Assets</w:t>
      </w:r>
    </w:p>
    <w:p>
      <w:pPr>
        <w:spacing w:before="0" w:after="120" w:line="276" w:lineRule="auto"/>
      </w:pPr>
      <w:r>
        <w:t>Smart Solutions holds exclusive rights to the following proprietary system assets:</w:t>
      </w:r>
    </w:p>
    <w:p>
      <w:pPr>
        <w:pStyle w:val="ListBullet"/>
        <w:spacing w:before="0" w:after="80" w:line="276" w:lineRule="auto"/>
      </w:pPr>
      <w:r>
        <w:rPr>
          <w:b/>
          <w:color w:val="0F172A"/>
        </w:rPr>
        <w:t xml:space="preserve">1. The Core Orchestration Engine: </w:t>
      </w:r>
      <w:r>
        <w:t>Node.js/TypeScript Express server architecture handling secure webhooks from Meta's WhatsApp Cloud API.</w:t>
      </w:r>
    </w:p>
    <w:p>
      <w:pPr>
        <w:pStyle w:val="ListBullet"/>
        <w:spacing w:before="0" w:after="80" w:line="276" w:lineRule="auto"/>
      </w:pPr>
      <w:r>
        <w:rPr>
          <w:b/>
          <w:color w:val="0F172A"/>
        </w:rPr>
        <w:t xml:space="preserve">2. Dynamic Inventory &amp; Fitment Logic: </w:t>
      </w:r>
      <w:r>
        <w:t>Custom Supabase relational database schemas paired with backend queries designed for rapid part-number and vehicle compatibility lookups (Make, Model, Year).</w:t>
      </w:r>
    </w:p>
    <w:p>
      <w:pPr>
        <w:pStyle w:val="ListBullet"/>
        <w:spacing w:before="0" w:after="80" w:line="276" w:lineRule="auto"/>
      </w:pPr>
      <w:r>
        <w:rPr>
          <w:b/>
          <w:color w:val="0F172A"/>
        </w:rPr>
        <w:t xml:space="preserve">3. Transactional Webhook Connectors: </w:t>
      </w:r>
      <w:r>
        <w:t>Native API integration modules linking chat flows to regional payment gateways (Yoco, PayFast, Ozow) for dynamic in-chat payment link generation.</w:t>
      </w:r>
    </w:p>
    <w:p>
      <w:pPr>
        <w:pStyle w:val="ListBullet"/>
        <w:spacing w:before="0" w:after="80" w:line="276" w:lineRule="auto"/>
      </w:pPr>
      <w:r>
        <w:rPr>
          <w:b/>
          <w:color w:val="0F172A"/>
        </w:rPr>
        <w:t xml:space="preserve">4. Domain-Specific AI Prompts: </w:t>
      </w:r>
      <w:r>
        <w:t>Rigorously tuned system instruction sets that constrain LLM outputs (OpenAI GPT-4o) to factual inventory catalogs, eliminating pricing hallucinations.</w:t>
      </w:r>
    </w:p>
    <w:p>
      <w:pPr>
        <w:spacing w:after="80"/>
      </w:pPr>
    </w:p>
    <w:p>
      <w:pPr>
        <w:keepNext/>
        <w:spacing w:before="360" w:after="120"/>
      </w:pPr>
      <w:r>
        <w:rPr>
          <w:rFonts w:ascii="Calibri Light" w:hAnsi="Calibri Light"/>
          <w:b/>
          <w:color w:val="0F172A"/>
          <w:sz w:val="32"/>
        </w:rPr>
        <w:t>Section 4: Operational Stack &amp; Technical Infrastructure</w:t>
      </w:r>
    </w:p>
    <w:p>
      <w:pPr>
        <w:spacing w:before="0" w:after="120" w:line="276" w:lineRule="auto"/>
      </w:pPr>
      <w:r>
        <w:t>The business is built on a serverless, developer-first stack managed via agentic CLI tooling (Claude Code):</w:t>
      </w:r>
    </w:p>
    <w:p>
      <w:pPr>
        <w:pStyle w:val="ListBullet"/>
        <w:spacing w:before="0" w:after="80" w:line="276" w:lineRule="auto"/>
      </w:pPr>
      <w:r>
        <w:rPr>
          <w:b/>
          <w:color w:val="0F172A"/>
        </w:rPr>
        <w:t xml:space="preserve">• Frontend/Messaging Layer: </w:t>
      </w:r>
      <w:r>
        <w:t>Meta WhatsApp Cloud API (secured via official business verification).</w:t>
      </w:r>
    </w:p>
    <w:p>
      <w:pPr>
        <w:pStyle w:val="ListBullet"/>
        <w:spacing w:before="0" w:after="80" w:line="276" w:lineRule="auto"/>
      </w:pPr>
      <w:r>
        <w:rPr>
          <w:b/>
          <w:color w:val="0F172A"/>
        </w:rPr>
        <w:t xml:space="preserve">• Conversational AI &amp; Logic: </w:t>
      </w:r>
      <w:r>
        <w:t>OpenAI GPT-4o API connected to structured knowledge bases.</w:t>
      </w:r>
    </w:p>
    <w:p>
      <w:pPr>
        <w:pStyle w:val="ListBullet"/>
        <w:spacing w:before="0" w:after="80" w:line="276" w:lineRule="auto"/>
      </w:pPr>
      <w:r>
        <w:rPr>
          <w:b/>
          <w:color w:val="0F172A"/>
        </w:rPr>
        <w:t xml:space="preserve">• Database Management: </w:t>
      </w:r>
      <w:r>
        <w:t>Supabase (PostgreSQL relational database with indexed vehicle lookups).</w:t>
      </w:r>
    </w:p>
    <w:p>
      <w:pPr>
        <w:pStyle w:val="ListBullet"/>
        <w:spacing w:before="0" w:after="80" w:line="276" w:lineRule="auto"/>
      </w:pPr>
      <w:r>
        <w:rPr>
          <w:b/>
          <w:color w:val="0F172A"/>
        </w:rPr>
        <w:t xml:space="preserve">• Payment Processing: </w:t>
      </w:r>
      <w:r>
        <w:t>Yoco API / PayFast API for instant payment links.</w:t>
      </w:r>
    </w:p>
    <w:p>
      <w:pPr>
        <w:pStyle w:val="ListBullet"/>
        <w:spacing w:before="0" w:after="80" w:line="276" w:lineRule="auto"/>
      </w:pPr>
      <w:r>
        <w:rPr>
          <w:b/>
          <w:color w:val="0F172A"/>
        </w:rPr>
        <w:t xml:space="preserve">• Cloud Hosting: </w:t>
      </w:r>
      <w:r>
        <w:t>Railway / Vercel edge deployment ensuring 99.9% uptime.</w:t>
      </w:r>
    </w:p>
    <w:p>
      <w:pPr>
        <w:spacing w:after="80"/>
      </w:pPr>
    </w:p>
    <w:p>
      <w:pPr>
        <w:keepNext/>
        <w:spacing w:before="360" w:after="120"/>
      </w:pPr>
      <w:r>
        <w:rPr>
          <w:rFonts w:ascii="Calibri Light" w:hAnsi="Calibri Light"/>
          <w:b/>
          <w:color w:val="0F172A"/>
          <w:sz w:val="32"/>
        </w:rPr>
        <w:t>Section 5: Shareholder &amp; Director Declarations</w:t>
      </w:r>
    </w:p>
    <w:p>
      <w:pPr>
        <w:pStyle w:val="ListBullet"/>
        <w:spacing w:before="0" w:after="80" w:line="276" w:lineRule="auto"/>
      </w:pPr>
      <w:r>
        <w:rPr>
          <w:b/>
          <w:color w:val="0F172A"/>
        </w:rPr>
        <w:t xml:space="preserve">Director Control: </w:t>
      </w:r>
      <w:r>
        <w:t>Lesedi Mofokeng acts as the sole Founder and Managing Director, retaining 100% executive control over strategic direction, technical deployment, and commercial operations.</w:t>
      </w:r>
    </w:p>
    <w:p>
      <w:pPr>
        <w:pStyle w:val="ListBullet"/>
        <w:spacing w:before="0" w:after="80" w:line="276" w:lineRule="auto"/>
      </w:pPr>
      <w:r>
        <w:rPr>
          <w:b/>
          <w:color w:val="0F172A"/>
        </w:rPr>
        <w:t xml:space="preserve">Fiduciary Responsibility: </w:t>
      </w:r>
      <w:r>
        <w:t>The director commits to maintaining strict separation between personal and corporate accounts, ensuring all tax and regulatory compliance standards are upheld.</w:t>
      </w:r>
    </w:p>
    <w:p>
      <w:pPr>
        <w:pStyle w:val="ListBullet"/>
        <w:spacing w:before="0" w:after="80" w:line="276" w:lineRule="auto"/>
      </w:pPr>
      <w:r>
        <w:rPr>
          <w:b/>
          <w:color w:val="0F172A"/>
        </w:rPr>
        <w:t xml:space="preserve">Succession &amp; Transferability: </w:t>
      </w:r>
      <w:r>
        <w:t>All credentials, repositories, database environments, and API integrations are cataloged under corporate management handles to allow instant transfer of ownership to an acquiring entity.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E7490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0E7490"/>
                <w:sz w:val="22"/>
              </w:rPr>
              <w:t>Official Charter Notice</w:t>
              <w:br/>
            </w:r>
            <w:r>
              <w:rPr>
                <w:sz w:val="21"/>
              </w:rPr>
              <w:t>This founding document serves as the constitutional baseline for Smart Solutions (Pty) Ltd, establishing structural integrity, asset clarity, and enterprise-grade governance from Day 1.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